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832E5" w14:textId="77777777" w:rsidR="00623489" w:rsidRPr="002B6FDE" w:rsidRDefault="00C631E3" w:rsidP="00623489">
      <w:pPr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2B6FDE">
        <w:rPr>
          <w:rFonts w:ascii="Arial" w:hAnsi="Arial" w:cs="Arial"/>
          <w:b/>
          <w:sz w:val="24"/>
          <w:szCs w:val="20"/>
        </w:rPr>
        <w:t>W</w:t>
      </w:r>
      <w:r w:rsidR="00623489" w:rsidRPr="002B6FDE">
        <w:rPr>
          <w:rFonts w:ascii="Arial" w:hAnsi="Arial" w:cs="Arial"/>
          <w:b/>
          <w:sz w:val="24"/>
          <w:szCs w:val="20"/>
        </w:rPr>
        <w:t xml:space="preserve">ORKFORCE </w:t>
      </w:r>
      <w:r w:rsidRPr="002B6FDE">
        <w:rPr>
          <w:rFonts w:ascii="Arial" w:hAnsi="Arial" w:cs="Arial"/>
          <w:b/>
          <w:sz w:val="24"/>
          <w:szCs w:val="20"/>
        </w:rPr>
        <w:t>D</w:t>
      </w:r>
      <w:r w:rsidR="00623489" w:rsidRPr="002B6FDE">
        <w:rPr>
          <w:rFonts w:ascii="Arial" w:hAnsi="Arial" w:cs="Arial"/>
          <w:b/>
          <w:sz w:val="24"/>
          <w:szCs w:val="20"/>
        </w:rPr>
        <w:t xml:space="preserve">ISABILITY </w:t>
      </w:r>
      <w:r w:rsidRPr="002B6FDE">
        <w:rPr>
          <w:rFonts w:ascii="Arial" w:hAnsi="Arial" w:cs="Arial"/>
          <w:b/>
          <w:sz w:val="24"/>
          <w:szCs w:val="20"/>
        </w:rPr>
        <w:t>E</w:t>
      </w:r>
      <w:r w:rsidR="00623489" w:rsidRPr="002B6FDE">
        <w:rPr>
          <w:rFonts w:ascii="Arial" w:hAnsi="Arial" w:cs="Arial"/>
          <w:b/>
          <w:sz w:val="24"/>
          <w:szCs w:val="20"/>
        </w:rPr>
        <w:t xml:space="preserve">QUALITY </w:t>
      </w:r>
      <w:r w:rsidRPr="002B6FDE">
        <w:rPr>
          <w:rFonts w:ascii="Arial" w:hAnsi="Arial" w:cs="Arial"/>
          <w:b/>
          <w:sz w:val="24"/>
          <w:szCs w:val="20"/>
        </w:rPr>
        <w:t>S</w:t>
      </w:r>
      <w:r w:rsidR="00623489" w:rsidRPr="002B6FDE">
        <w:rPr>
          <w:rFonts w:ascii="Arial" w:hAnsi="Arial" w:cs="Arial"/>
          <w:b/>
          <w:sz w:val="24"/>
          <w:szCs w:val="20"/>
        </w:rPr>
        <w:t>TANDARD – WDES – DATA AND NARRATIVE</w:t>
      </w:r>
    </w:p>
    <w:p w14:paraId="135832E6" w14:textId="3EC3D176" w:rsidR="003E62EE" w:rsidRPr="002B6FDE" w:rsidRDefault="00623489" w:rsidP="00623489">
      <w:pPr>
        <w:jc w:val="center"/>
        <w:rPr>
          <w:rFonts w:ascii="Arial" w:hAnsi="Arial" w:cs="Arial"/>
          <w:b/>
          <w:sz w:val="24"/>
          <w:szCs w:val="20"/>
        </w:rPr>
      </w:pPr>
      <w:r w:rsidRPr="002B6FDE">
        <w:rPr>
          <w:rFonts w:ascii="Arial" w:hAnsi="Arial" w:cs="Arial"/>
          <w:b/>
          <w:sz w:val="24"/>
          <w:szCs w:val="20"/>
        </w:rPr>
        <w:t xml:space="preserve">DEADLINE FOR SUBMISSION TO NHS ENGLAND: </w:t>
      </w:r>
      <w:r w:rsidR="00612596" w:rsidRPr="002B6FDE">
        <w:rPr>
          <w:rFonts w:ascii="Arial" w:hAnsi="Arial" w:cs="Arial"/>
          <w:b/>
          <w:sz w:val="24"/>
          <w:szCs w:val="20"/>
        </w:rPr>
        <w:t>3</w:t>
      </w:r>
      <w:r w:rsidRPr="002B6FDE">
        <w:rPr>
          <w:rFonts w:ascii="Arial" w:hAnsi="Arial" w:cs="Arial"/>
          <w:b/>
          <w:sz w:val="24"/>
          <w:szCs w:val="20"/>
        </w:rPr>
        <w:t>1</w:t>
      </w:r>
      <w:r w:rsidRPr="002B6FDE">
        <w:rPr>
          <w:rFonts w:ascii="Arial" w:hAnsi="Arial" w:cs="Arial"/>
          <w:b/>
          <w:sz w:val="24"/>
          <w:szCs w:val="20"/>
          <w:vertAlign w:val="superscript"/>
        </w:rPr>
        <w:t>ST</w:t>
      </w:r>
      <w:r w:rsidRPr="002B6FDE">
        <w:rPr>
          <w:rFonts w:ascii="Arial" w:hAnsi="Arial" w:cs="Arial"/>
          <w:b/>
          <w:sz w:val="24"/>
          <w:szCs w:val="20"/>
        </w:rPr>
        <w:t xml:space="preserve"> AUGUST</w:t>
      </w:r>
      <w:r w:rsidR="003E62EE" w:rsidRPr="002B6FDE">
        <w:rPr>
          <w:rFonts w:ascii="Arial" w:hAnsi="Arial" w:cs="Arial"/>
          <w:b/>
          <w:sz w:val="24"/>
          <w:szCs w:val="20"/>
        </w:rPr>
        <w:t xml:space="preserve"> 20</w:t>
      </w:r>
      <w:r w:rsidR="007D6B9E" w:rsidRPr="002B6FDE">
        <w:rPr>
          <w:rFonts w:ascii="Arial" w:hAnsi="Arial" w:cs="Arial"/>
          <w:b/>
          <w:sz w:val="24"/>
          <w:szCs w:val="20"/>
        </w:rPr>
        <w:t>2</w:t>
      </w:r>
      <w:r w:rsidR="00D6447F">
        <w:rPr>
          <w:rFonts w:ascii="Arial" w:hAnsi="Arial" w:cs="Arial"/>
          <w:b/>
          <w:sz w:val="24"/>
          <w:szCs w:val="20"/>
        </w:rPr>
        <w:t>1</w:t>
      </w:r>
    </w:p>
    <w:tbl>
      <w:tblPr>
        <w:tblStyle w:val="TableGrid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693"/>
        <w:gridCol w:w="3861"/>
        <w:gridCol w:w="4077"/>
      </w:tblGrid>
      <w:tr w:rsidR="00D6447F" w:rsidRPr="002B6FDE" w14:paraId="135832EC" w14:textId="77777777" w:rsidTr="5C0F10E0">
        <w:trPr>
          <w:trHeight w:val="365"/>
          <w:tblHeader/>
        </w:trPr>
        <w:tc>
          <w:tcPr>
            <w:tcW w:w="2127" w:type="dxa"/>
          </w:tcPr>
          <w:p w14:paraId="135832E7" w14:textId="77777777" w:rsidR="00D6447F" w:rsidRPr="002B6FDE" w:rsidRDefault="00D64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FDE">
              <w:rPr>
                <w:rFonts w:ascii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2977" w:type="dxa"/>
          </w:tcPr>
          <w:p w14:paraId="141344D6" w14:textId="44363C85" w:rsidR="00D6447F" w:rsidRPr="002B6FDE" w:rsidRDefault="00D644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for reporting year 2020/21</w:t>
            </w:r>
          </w:p>
        </w:tc>
        <w:tc>
          <w:tcPr>
            <w:tcW w:w="2693" w:type="dxa"/>
          </w:tcPr>
          <w:p w14:paraId="135832E8" w14:textId="4A82B980" w:rsidR="00D6447F" w:rsidRPr="002B6FDE" w:rsidRDefault="00D64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FDE">
              <w:rPr>
                <w:rFonts w:ascii="Arial" w:hAnsi="Arial" w:cs="Arial"/>
                <w:b/>
                <w:sz w:val="20"/>
                <w:szCs w:val="20"/>
              </w:rPr>
              <w:t>Data for reporting year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2019/20</w:t>
            </w:r>
          </w:p>
        </w:tc>
        <w:tc>
          <w:tcPr>
            <w:tcW w:w="3861" w:type="dxa"/>
          </w:tcPr>
          <w:p w14:paraId="135832EA" w14:textId="77777777" w:rsidR="00D6447F" w:rsidRPr="002B6FDE" w:rsidRDefault="00D64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FDE">
              <w:rPr>
                <w:rFonts w:ascii="Arial" w:hAnsi="Arial" w:cs="Arial"/>
                <w:b/>
                <w:sz w:val="20"/>
                <w:szCs w:val="20"/>
              </w:rPr>
              <w:t>Narrative – the implications of the data</w:t>
            </w:r>
          </w:p>
        </w:tc>
        <w:tc>
          <w:tcPr>
            <w:tcW w:w="4077" w:type="dxa"/>
          </w:tcPr>
          <w:p w14:paraId="135832EB" w14:textId="77777777" w:rsidR="00D6447F" w:rsidRPr="002B6FDE" w:rsidRDefault="00D64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FDE">
              <w:rPr>
                <w:rFonts w:ascii="Arial" w:hAnsi="Arial" w:cs="Arial"/>
                <w:b/>
                <w:sz w:val="20"/>
                <w:szCs w:val="20"/>
              </w:rPr>
              <w:t>Action taken and planned</w:t>
            </w:r>
          </w:p>
        </w:tc>
      </w:tr>
      <w:tr w:rsidR="00D6447F" w:rsidRPr="002B6FDE" w14:paraId="13583353" w14:textId="77777777" w:rsidTr="5C0F10E0">
        <w:trPr>
          <w:trHeight w:val="980"/>
        </w:trPr>
        <w:tc>
          <w:tcPr>
            <w:tcW w:w="2127" w:type="dxa"/>
          </w:tcPr>
          <w:p w14:paraId="135832ED" w14:textId="77777777" w:rsidR="00D6447F" w:rsidRPr="002B6FDE" w:rsidRDefault="00D6447F" w:rsidP="002B6FDE">
            <w:pPr>
              <w:rPr>
                <w:rFonts w:ascii="Arial" w:hAnsi="Arial" w:cs="Arial"/>
                <w:sz w:val="20"/>
                <w:szCs w:val="20"/>
              </w:rPr>
            </w:pPr>
            <w:r w:rsidRPr="13393B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Percentage of staff in </w:t>
            </w:r>
            <w:proofErr w:type="spellStart"/>
            <w:r w:rsidRPr="13393B15">
              <w:rPr>
                <w:rFonts w:ascii="Arial" w:hAnsi="Arial" w:cs="Arial"/>
                <w:color w:val="000000" w:themeColor="text1"/>
                <w:sz w:val="20"/>
                <w:szCs w:val="20"/>
              </w:rPr>
              <w:t>AfC</w:t>
            </w:r>
            <w:proofErr w:type="spellEnd"/>
            <w:r w:rsidRPr="13393B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pay bands or medical and dental subgroups and very senior managers (VSM) (including executive board members) compared with the percentage of staff in the overall workforce.   </w:t>
            </w:r>
          </w:p>
        </w:tc>
        <w:tc>
          <w:tcPr>
            <w:tcW w:w="2977" w:type="dxa"/>
          </w:tcPr>
          <w:p w14:paraId="48EAC54B" w14:textId="623F53D7" w:rsidR="00D6447F" w:rsidRPr="00020068" w:rsidRDefault="00D6447F" w:rsidP="13393B1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C5115">
              <w:rPr>
                <w:rFonts w:ascii="Arial" w:hAnsi="Arial" w:cs="Arial"/>
                <w:b/>
                <w:bCs/>
                <w:sz w:val="20"/>
                <w:szCs w:val="20"/>
              </w:rPr>
              <w:t>OVERALL TOTAL</w:t>
            </w:r>
            <w:r w:rsidR="2CFD6AD6" w:rsidRPr="009C5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 w:rsidR="3244C9D7" w:rsidRPr="009C5115">
              <w:rPr>
                <w:rFonts w:ascii="Arial" w:hAnsi="Arial" w:cs="Arial"/>
                <w:b/>
                <w:bCs/>
                <w:sz w:val="20"/>
                <w:szCs w:val="20"/>
              </w:rPr>
              <w:t>2.6</w:t>
            </w:r>
            <w:r w:rsidR="2CFD6AD6" w:rsidRPr="009C511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  <w:p w14:paraId="4C9870CB" w14:textId="77777777" w:rsidR="009C5115" w:rsidRDefault="009C5115" w:rsidP="13393B1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DC34AF5" w14:textId="486DB551" w:rsidR="00D6447F" w:rsidRPr="00020068" w:rsidRDefault="00D6447F" w:rsidP="5C0F10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C0F10E0">
              <w:rPr>
                <w:rFonts w:ascii="Arial" w:hAnsi="Arial" w:cs="Arial"/>
                <w:b/>
                <w:bCs/>
                <w:sz w:val="20"/>
                <w:szCs w:val="20"/>
              </w:rPr>
              <w:t>Non-Clinical Disability</w:t>
            </w:r>
          </w:p>
          <w:p w14:paraId="1005FDF6" w14:textId="55B41EB1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UB1 – </w:t>
            </w:r>
            <w:r w:rsidR="57F4E3B0" w:rsidRPr="5C0F10E0">
              <w:rPr>
                <w:rFonts w:ascii="Arial" w:hAnsi="Arial" w:cs="Arial"/>
                <w:sz w:val="20"/>
                <w:szCs w:val="20"/>
              </w:rPr>
              <w:t>8.3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2CE6BA9" w14:textId="3175C137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B1 – 0.</w:t>
            </w:r>
            <w:r w:rsidR="6CFCBCD1" w:rsidRPr="5C0F10E0">
              <w:rPr>
                <w:rFonts w:ascii="Arial" w:hAnsi="Arial" w:cs="Arial"/>
                <w:sz w:val="20"/>
                <w:szCs w:val="20"/>
              </w:rPr>
              <w:t>0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05B414E" w14:textId="1CB8B67A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B2 – </w:t>
            </w:r>
            <w:r w:rsidR="259CF2E7" w:rsidRPr="5C0F10E0">
              <w:rPr>
                <w:rFonts w:ascii="Arial" w:hAnsi="Arial" w:cs="Arial"/>
                <w:sz w:val="20"/>
                <w:szCs w:val="20"/>
              </w:rPr>
              <w:t>3</w:t>
            </w:r>
            <w:r w:rsidRPr="5C0F10E0">
              <w:rPr>
                <w:rFonts w:ascii="Arial" w:hAnsi="Arial" w:cs="Arial"/>
                <w:sz w:val="20"/>
                <w:szCs w:val="20"/>
              </w:rPr>
              <w:t>.5%</w:t>
            </w:r>
          </w:p>
          <w:p w14:paraId="3D5DB120" w14:textId="33385B01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B3 – </w:t>
            </w:r>
            <w:r w:rsidR="1989BFD1" w:rsidRPr="5C0F10E0">
              <w:rPr>
                <w:rFonts w:ascii="Arial" w:hAnsi="Arial" w:cs="Arial"/>
                <w:sz w:val="20"/>
                <w:szCs w:val="20"/>
              </w:rPr>
              <w:t>4.9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1D89D03" w14:textId="7DDFBF4E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B4 – 1.</w:t>
            </w:r>
            <w:r w:rsidR="1411FECF" w:rsidRPr="5C0F10E0">
              <w:rPr>
                <w:rFonts w:ascii="Arial" w:hAnsi="Arial" w:cs="Arial"/>
                <w:sz w:val="20"/>
                <w:szCs w:val="20"/>
              </w:rPr>
              <w:t>6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7701E184" w14:textId="58E8719F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B5 – </w:t>
            </w:r>
            <w:r w:rsidR="52AE33C9" w:rsidRPr="5C0F10E0">
              <w:rPr>
                <w:rFonts w:ascii="Arial" w:hAnsi="Arial" w:cs="Arial"/>
                <w:sz w:val="20"/>
                <w:szCs w:val="20"/>
              </w:rPr>
              <w:t>4.4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E60E7AC" w14:textId="065B1D3A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B6 – </w:t>
            </w:r>
            <w:r w:rsidR="66E5DAD9" w:rsidRPr="5C0F10E0">
              <w:rPr>
                <w:rFonts w:ascii="Arial" w:hAnsi="Arial" w:cs="Arial"/>
                <w:sz w:val="20"/>
                <w:szCs w:val="20"/>
              </w:rPr>
              <w:t>3.9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4EE70A3" w14:textId="5311BC82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B7 – </w:t>
            </w:r>
            <w:r w:rsidR="76D570DE" w:rsidRPr="5C0F10E0">
              <w:rPr>
                <w:rFonts w:ascii="Arial" w:hAnsi="Arial" w:cs="Arial"/>
                <w:sz w:val="20"/>
                <w:szCs w:val="20"/>
              </w:rPr>
              <w:t>4.8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CC72888" w14:textId="6E3BC233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B8a – </w:t>
            </w:r>
            <w:r w:rsidR="0DA2BC96" w:rsidRPr="5C0F10E0">
              <w:rPr>
                <w:rFonts w:ascii="Arial" w:hAnsi="Arial" w:cs="Arial"/>
                <w:sz w:val="20"/>
                <w:szCs w:val="20"/>
              </w:rPr>
              <w:t>2.3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76A4A386" w14:textId="0B5D4E10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B8b – 0.</w:t>
            </w:r>
            <w:r w:rsidR="24F0B863" w:rsidRPr="5C0F10E0">
              <w:rPr>
                <w:rFonts w:ascii="Arial" w:hAnsi="Arial" w:cs="Arial"/>
                <w:sz w:val="20"/>
                <w:szCs w:val="20"/>
              </w:rPr>
              <w:t>0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175B54F" w14:textId="56290683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B8c – 0</w:t>
            </w:r>
            <w:r w:rsidR="24F2B843" w:rsidRPr="5C0F10E0">
              <w:rPr>
                <w:rFonts w:ascii="Arial" w:hAnsi="Arial" w:cs="Arial"/>
                <w:sz w:val="20"/>
                <w:szCs w:val="20"/>
              </w:rPr>
              <w:t>.0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631BB77" w14:textId="2D740239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B8d – 0</w:t>
            </w:r>
            <w:r w:rsidR="0B7FD93E" w:rsidRPr="5C0F10E0">
              <w:rPr>
                <w:rFonts w:ascii="Arial" w:hAnsi="Arial" w:cs="Arial"/>
                <w:sz w:val="20"/>
                <w:szCs w:val="20"/>
              </w:rPr>
              <w:t>.0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522370E" w14:textId="3E9AA649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B9 – </w:t>
            </w:r>
            <w:r w:rsidR="01AD5236" w:rsidRPr="5C0F10E0">
              <w:rPr>
                <w:rFonts w:ascii="Arial" w:hAnsi="Arial" w:cs="Arial"/>
                <w:sz w:val="20"/>
                <w:szCs w:val="20"/>
              </w:rPr>
              <w:t>20</w:t>
            </w:r>
            <w:r w:rsidR="6F47DFF4" w:rsidRPr="5C0F10E0">
              <w:rPr>
                <w:rFonts w:ascii="Arial" w:hAnsi="Arial" w:cs="Arial"/>
                <w:sz w:val="20"/>
                <w:szCs w:val="20"/>
              </w:rPr>
              <w:t>.0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084A55EE" w14:textId="21C0BB76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VSM – </w:t>
            </w:r>
            <w:r w:rsidR="06E0627D" w:rsidRPr="5C0F10E0">
              <w:rPr>
                <w:rFonts w:ascii="Arial" w:hAnsi="Arial" w:cs="Arial"/>
                <w:sz w:val="20"/>
                <w:szCs w:val="20"/>
              </w:rPr>
              <w:t>25.0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A990CDB" w14:textId="3D2D87E0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Other – </w:t>
            </w:r>
            <w:r w:rsidR="739D9E29" w:rsidRPr="5C0F10E0">
              <w:rPr>
                <w:rFonts w:ascii="Arial" w:hAnsi="Arial" w:cs="Arial"/>
                <w:sz w:val="20"/>
                <w:szCs w:val="20"/>
              </w:rPr>
              <w:t>0.0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3B76146" w14:textId="77777777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B8F3F" w14:textId="77777777" w:rsidR="00D6447F" w:rsidRPr="00020068" w:rsidRDefault="00D6447F" w:rsidP="5C0F10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C0F10E0">
              <w:rPr>
                <w:rFonts w:ascii="Arial" w:hAnsi="Arial" w:cs="Arial"/>
                <w:b/>
                <w:bCs/>
                <w:sz w:val="20"/>
                <w:szCs w:val="20"/>
              </w:rPr>
              <w:t>Non-Clinical Band Clusters</w:t>
            </w:r>
          </w:p>
          <w:p w14:paraId="35535567" w14:textId="4DA31AE5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Cluster 1 (bands 1-4) – </w:t>
            </w:r>
            <w:r w:rsidR="5804784C" w:rsidRPr="5C0F10E0">
              <w:rPr>
                <w:rFonts w:ascii="Arial" w:hAnsi="Arial" w:cs="Arial"/>
                <w:sz w:val="20"/>
                <w:szCs w:val="20"/>
              </w:rPr>
              <w:t>3.7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9003160" w14:textId="5DAC6DC0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Cluster 2 (bands 5-7) – </w:t>
            </w:r>
            <w:r w:rsidR="19CE5BC5" w:rsidRPr="5C0F10E0">
              <w:rPr>
                <w:rFonts w:ascii="Arial" w:hAnsi="Arial" w:cs="Arial"/>
                <w:sz w:val="20"/>
                <w:szCs w:val="20"/>
              </w:rPr>
              <w:t>4.3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77730B5C" w14:textId="1C5C60F8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Cluster 3 (bands 8a-8b) – </w:t>
            </w:r>
            <w:r w:rsidR="342ABC40" w:rsidRPr="5C0F10E0">
              <w:rPr>
                <w:rFonts w:ascii="Arial" w:hAnsi="Arial" w:cs="Arial"/>
                <w:sz w:val="20"/>
                <w:szCs w:val="20"/>
              </w:rPr>
              <w:t>1.</w:t>
            </w:r>
            <w:r w:rsidR="007405DE">
              <w:rPr>
                <w:rFonts w:ascii="Arial" w:hAnsi="Arial" w:cs="Arial"/>
                <w:sz w:val="20"/>
                <w:szCs w:val="20"/>
              </w:rPr>
              <w:t>4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387C04F" w14:textId="5C994932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Cluster 4 (bands 8c-VSM) – </w:t>
            </w:r>
            <w:r w:rsidR="13EACCA5" w:rsidRPr="5C0F10E0">
              <w:rPr>
                <w:rFonts w:ascii="Arial" w:hAnsi="Arial" w:cs="Arial"/>
                <w:sz w:val="20"/>
                <w:szCs w:val="20"/>
              </w:rPr>
              <w:t>6%</w:t>
            </w:r>
          </w:p>
          <w:p w14:paraId="2F4A00CB" w14:textId="3A98F8D2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6BDE8" w14:textId="77777777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b/>
                <w:bCs/>
                <w:sz w:val="20"/>
                <w:szCs w:val="20"/>
              </w:rPr>
              <w:t>Clinical</w:t>
            </w:r>
            <w:r w:rsidRPr="5C0F10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168B14" w14:textId="36AA049B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UB1 – </w:t>
            </w:r>
            <w:r w:rsidR="30A05459" w:rsidRPr="5C0F10E0">
              <w:rPr>
                <w:rFonts w:ascii="Arial" w:hAnsi="Arial" w:cs="Arial"/>
                <w:sz w:val="20"/>
                <w:szCs w:val="20"/>
              </w:rPr>
              <w:t>1.6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CC55A8E" w14:textId="7BCAC6E6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B1 – 0%</w:t>
            </w:r>
          </w:p>
          <w:p w14:paraId="310EB2ED" w14:textId="606A6FA8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B2 – </w:t>
            </w:r>
            <w:r w:rsidR="7A723348" w:rsidRPr="5C0F10E0">
              <w:rPr>
                <w:rFonts w:ascii="Arial" w:hAnsi="Arial" w:cs="Arial"/>
                <w:sz w:val="20"/>
                <w:szCs w:val="20"/>
              </w:rPr>
              <w:t>2.9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7200F3A" w14:textId="2A99D655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B3 – </w:t>
            </w:r>
            <w:r w:rsidR="6B57965D" w:rsidRPr="5C0F10E0">
              <w:rPr>
                <w:rFonts w:ascii="Arial" w:hAnsi="Arial" w:cs="Arial"/>
                <w:sz w:val="20"/>
                <w:szCs w:val="20"/>
              </w:rPr>
              <w:t>3.6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0A2FE00" w14:textId="7573AB80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B4 – 3.</w:t>
            </w:r>
            <w:r w:rsidR="629C348D" w:rsidRPr="5C0F10E0">
              <w:rPr>
                <w:rFonts w:ascii="Arial" w:hAnsi="Arial" w:cs="Arial"/>
                <w:sz w:val="20"/>
                <w:szCs w:val="20"/>
              </w:rPr>
              <w:t>7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2E7D70A" w14:textId="32B6EF48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B5 – </w:t>
            </w:r>
            <w:r w:rsidR="18A61E08" w:rsidRPr="5C0F10E0">
              <w:rPr>
                <w:rFonts w:ascii="Arial" w:hAnsi="Arial" w:cs="Arial"/>
                <w:sz w:val="20"/>
                <w:szCs w:val="20"/>
              </w:rPr>
              <w:t>2.1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3F4E269" w14:textId="19A43799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B6 – </w:t>
            </w:r>
            <w:r w:rsidR="05D92BDB" w:rsidRPr="5C0F10E0">
              <w:rPr>
                <w:rFonts w:ascii="Arial" w:hAnsi="Arial" w:cs="Arial"/>
                <w:sz w:val="20"/>
                <w:szCs w:val="20"/>
              </w:rPr>
              <w:t>2.9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91871A2" w14:textId="7F5646A1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B7 – </w:t>
            </w:r>
            <w:r w:rsidR="2EFA236D" w:rsidRPr="5C0F10E0">
              <w:rPr>
                <w:rFonts w:ascii="Arial" w:hAnsi="Arial" w:cs="Arial"/>
                <w:sz w:val="20"/>
                <w:szCs w:val="20"/>
              </w:rPr>
              <w:t>1.7</w:t>
            </w:r>
            <w:r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E1CC34D" w14:textId="012C73F9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 xml:space="preserve">B8a – </w:t>
            </w:r>
            <w:r w:rsidR="0086310F" w:rsidRPr="00DA24A3">
              <w:rPr>
                <w:rFonts w:ascii="Arial" w:hAnsi="Arial" w:cs="Arial"/>
                <w:sz w:val="20"/>
                <w:szCs w:val="20"/>
              </w:rPr>
              <w:t>5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49EB4C7" w14:textId="3729ADBE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B8b – 0%</w:t>
            </w:r>
          </w:p>
          <w:p w14:paraId="55107B94" w14:textId="54FB318E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lastRenderedPageBreak/>
              <w:t>B8c – 0%</w:t>
            </w:r>
          </w:p>
          <w:p w14:paraId="4585ECC6" w14:textId="7BF7EC90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B8d – 0%</w:t>
            </w:r>
          </w:p>
          <w:p w14:paraId="178A1FF2" w14:textId="0B6D0B0D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B9 – 0%</w:t>
            </w:r>
          </w:p>
          <w:p w14:paraId="3BEDBBE5" w14:textId="4BC45BD1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>VSM – 0%</w:t>
            </w:r>
          </w:p>
          <w:p w14:paraId="28F83EBD" w14:textId="797A7D55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Consultants – </w:t>
            </w:r>
            <w:r w:rsidR="007405DE">
              <w:rPr>
                <w:rFonts w:ascii="Arial" w:hAnsi="Arial" w:cs="Arial"/>
                <w:sz w:val="20"/>
                <w:szCs w:val="20"/>
              </w:rPr>
              <w:t>0.7</w:t>
            </w:r>
            <w:r w:rsidR="35D6AD8B" w:rsidRPr="5C0F10E0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68B987F" w14:textId="586C6A18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Non-Consultant career grade – </w:t>
            </w:r>
            <w:r w:rsidR="70ACA6BD" w:rsidRPr="5C0F10E0">
              <w:rPr>
                <w:rFonts w:ascii="Arial" w:hAnsi="Arial" w:cs="Arial"/>
                <w:sz w:val="20"/>
                <w:szCs w:val="20"/>
              </w:rPr>
              <w:t>2.1%</w:t>
            </w:r>
          </w:p>
          <w:p w14:paraId="673DA0EC" w14:textId="73CE26A2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Trainee grade – </w:t>
            </w:r>
            <w:r w:rsidR="6429AE05" w:rsidRPr="5C0F10E0">
              <w:rPr>
                <w:rFonts w:ascii="Arial" w:hAnsi="Arial" w:cs="Arial"/>
                <w:sz w:val="20"/>
                <w:szCs w:val="20"/>
              </w:rPr>
              <w:t>1.3%</w:t>
            </w:r>
          </w:p>
          <w:p w14:paraId="4466370C" w14:textId="2D566241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5C0F10E0">
              <w:rPr>
                <w:rFonts w:ascii="Arial" w:hAnsi="Arial" w:cs="Arial"/>
                <w:sz w:val="20"/>
                <w:szCs w:val="20"/>
              </w:rPr>
              <w:t xml:space="preserve">Other – </w:t>
            </w:r>
            <w:r w:rsidR="4C48781D" w:rsidRPr="5C0F10E0"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198E6EA0" w14:textId="77777777" w:rsidR="00D6447F" w:rsidRPr="00020068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3A097" w14:textId="77777777" w:rsidR="0086310F" w:rsidRDefault="0086310F" w:rsidP="5C0F10E0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</w:p>
          <w:p w14:paraId="4694B79E" w14:textId="77777777" w:rsidR="0086310F" w:rsidRDefault="0086310F" w:rsidP="5C0F10E0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</w:p>
          <w:p w14:paraId="7E88C289" w14:textId="4BA3F88E" w:rsidR="00D6447F" w:rsidRPr="00655911" w:rsidRDefault="00D6447F" w:rsidP="5C0F10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Band Clusters </w:t>
            </w:r>
          </w:p>
          <w:p w14:paraId="5F9BFB4D" w14:textId="1627D98F" w:rsidR="00D6447F" w:rsidRPr="00655911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00655911">
              <w:rPr>
                <w:rFonts w:ascii="Arial" w:hAnsi="Arial" w:cs="Arial"/>
                <w:sz w:val="20"/>
                <w:szCs w:val="20"/>
              </w:rPr>
              <w:t xml:space="preserve">Cluster 1 (bands 1-4) – </w:t>
            </w:r>
            <w:r w:rsidR="37C5B38F" w:rsidRPr="00655911">
              <w:rPr>
                <w:rFonts w:ascii="Arial" w:hAnsi="Arial" w:cs="Arial"/>
                <w:sz w:val="20"/>
                <w:szCs w:val="20"/>
              </w:rPr>
              <w:t>3.1</w:t>
            </w:r>
            <w:r w:rsidR="7FBA6F30" w:rsidRPr="00655911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7E04AAC9" w14:textId="3B118C06" w:rsidR="00D6447F" w:rsidRPr="00655911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00655911">
              <w:rPr>
                <w:rFonts w:ascii="Arial" w:hAnsi="Arial" w:cs="Arial"/>
                <w:sz w:val="20"/>
                <w:szCs w:val="20"/>
              </w:rPr>
              <w:t xml:space="preserve">Cluster 2 (bands 5-7) – </w:t>
            </w:r>
            <w:r w:rsidR="5E6B0EB0" w:rsidRPr="00655911">
              <w:rPr>
                <w:rFonts w:ascii="Arial" w:hAnsi="Arial" w:cs="Arial"/>
                <w:sz w:val="20"/>
                <w:szCs w:val="20"/>
              </w:rPr>
              <w:t>2.3</w:t>
            </w:r>
            <w:r w:rsidR="7B0115A8" w:rsidRPr="00655911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418DDDA" w14:textId="7CB7BE3F" w:rsidR="00D6447F" w:rsidRPr="00655911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00655911">
              <w:rPr>
                <w:rFonts w:ascii="Arial" w:hAnsi="Arial" w:cs="Arial"/>
                <w:sz w:val="20"/>
                <w:szCs w:val="20"/>
              </w:rPr>
              <w:t xml:space="preserve">Cluster 3 (bands 8a-8b) – </w:t>
            </w:r>
            <w:r w:rsidR="007405DE" w:rsidRPr="00655911">
              <w:rPr>
                <w:rFonts w:ascii="Arial" w:hAnsi="Arial" w:cs="Arial"/>
                <w:sz w:val="20"/>
                <w:szCs w:val="20"/>
              </w:rPr>
              <w:t>0</w:t>
            </w:r>
            <w:r w:rsidR="11EEB865" w:rsidRPr="00655911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903BF5A" w14:textId="29CDBDBB" w:rsidR="00D6447F" w:rsidRPr="00655911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00655911">
              <w:rPr>
                <w:rFonts w:ascii="Arial" w:hAnsi="Arial" w:cs="Arial"/>
                <w:sz w:val="20"/>
                <w:szCs w:val="20"/>
              </w:rPr>
              <w:t xml:space="preserve">Cluster 4 (bands 8c-VSM) – </w:t>
            </w:r>
            <w:r w:rsidR="3CD8E951" w:rsidRPr="00655911"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3FD09A4A" w14:textId="7C6F3334" w:rsidR="00D6447F" w:rsidRPr="00655911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00655911">
              <w:rPr>
                <w:rFonts w:ascii="Arial" w:hAnsi="Arial" w:cs="Arial"/>
                <w:sz w:val="20"/>
                <w:szCs w:val="20"/>
              </w:rPr>
              <w:t xml:space="preserve">Cluster 5 (M&amp;D, Consultants) – </w:t>
            </w:r>
            <w:r w:rsidR="30C7C80D" w:rsidRPr="00655911">
              <w:rPr>
                <w:rFonts w:ascii="Arial" w:hAnsi="Arial" w:cs="Arial"/>
                <w:sz w:val="20"/>
                <w:szCs w:val="20"/>
              </w:rPr>
              <w:t>0.</w:t>
            </w:r>
            <w:r w:rsidR="2958EE88" w:rsidRPr="00655911">
              <w:rPr>
                <w:rFonts w:ascii="Arial" w:hAnsi="Arial" w:cs="Arial"/>
                <w:sz w:val="20"/>
                <w:szCs w:val="20"/>
              </w:rPr>
              <w:t>7</w:t>
            </w:r>
            <w:r w:rsidR="30C7C80D" w:rsidRPr="00655911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0BBE45F" w14:textId="16333650" w:rsidR="00D6447F" w:rsidRPr="00655911" w:rsidRDefault="00D6447F" w:rsidP="5C0F10E0">
            <w:pPr>
              <w:rPr>
                <w:rFonts w:ascii="Arial" w:hAnsi="Arial" w:cs="Arial"/>
                <w:sz w:val="20"/>
                <w:szCs w:val="20"/>
              </w:rPr>
            </w:pPr>
            <w:r w:rsidRPr="00655911">
              <w:rPr>
                <w:rFonts w:ascii="Arial" w:hAnsi="Arial" w:cs="Arial"/>
                <w:sz w:val="20"/>
                <w:szCs w:val="20"/>
              </w:rPr>
              <w:t xml:space="preserve">Cluster 6 (M&amp;D, Non Consultants Career grade) – </w:t>
            </w:r>
            <w:r w:rsidR="0BA460E8" w:rsidRPr="00655911">
              <w:rPr>
                <w:rFonts w:ascii="Arial" w:hAnsi="Arial" w:cs="Arial"/>
                <w:sz w:val="20"/>
                <w:szCs w:val="20"/>
              </w:rPr>
              <w:t>2.2</w:t>
            </w:r>
            <w:r w:rsidR="0C0C5423" w:rsidRPr="00655911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94D3C00" w14:textId="7F88909C" w:rsidR="00D6447F" w:rsidRPr="002B6FDE" w:rsidRDefault="00D6447F" w:rsidP="00C26831">
            <w:pPr>
              <w:rPr>
                <w:rFonts w:ascii="Arial" w:hAnsi="Arial" w:cs="Arial"/>
                <w:sz w:val="20"/>
                <w:szCs w:val="20"/>
              </w:rPr>
            </w:pPr>
            <w:r w:rsidRPr="00655911">
              <w:rPr>
                <w:rFonts w:ascii="Arial" w:hAnsi="Arial" w:cs="Arial"/>
                <w:sz w:val="20"/>
                <w:szCs w:val="20"/>
              </w:rPr>
              <w:t>Cluster 7 (M&amp;D, trainees) –</w:t>
            </w:r>
            <w:r w:rsidR="123F2E9D" w:rsidRPr="00655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1973D55" w:rsidRPr="00655911">
              <w:rPr>
                <w:rFonts w:ascii="Arial" w:hAnsi="Arial" w:cs="Arial"/>
                <w:sz w:val="20"/>
                <w:szCs w:val="20"/>
              </w:rPr>
              <w:t>1.3</w:t>
            </w:r>
            <w:r w:rsidR="123F2E9D" w:rsidRPr="00655911">
              <w:rPr>
                <w:rFonts w:ascii="Arial" w:hAnsi="Arial" w:cs="Arial"/>
                <w:sz w:val="20"/>
                <w:szCs w:val="20"/>
              </w:rPr>
              <w:t>%</w:t>
            </w:r>
            <w:r w:rsidRPr="5C0F10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5313E7" w14:textId="4C8EF770" w:rsidR="00D6447F" w:rsidRPr="00204C76" w:rsidRDefault="00D6447F" w:rsidP="00204C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5832EE" w14:textId="01ABC938" w:rsidR="00D6447F" w:rsidRPr="002B6FDE" w:rsidRDefault="00D6447F" w:rsidP="008C61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FDE">
              <w:rPr>
                <w:rFonts w:ascii="Arial" w:hAnsi="Arial" w:cs="Arial"/>
                <w:b/>
                <w:sz w:val="20"/>
                <w:szCs w:val="20"/>
              </w:rPr>
              <w:lastRenderedPageBreak/>
              <w:t>OVERALL TOTAL = 2%</w:t>
            </w:r>
          </w:p>
          <w:p w14:paraId="135832EF" w14:textId="77777777" w:rsidR="00D6447F" w:rsidRPr="002B6FDE" w:rsidRDefault="00D6447F" w:rsidP="008C61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832F0" w14:textId="0F715315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b/>
                <w:sz w:val="20"/>
                <w:szCs w:val="20"/>
              </w:rPr>
              <w:t>Non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B6FDE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2B6F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FDE"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  <w:r w:rsidRPr="002B6FD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FCF7AA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B1 – 0%</w:t>
            </w:r>
          </w:p>
          <w:p w14:paraId="03303AF2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B2 – 4.3%</w:t>
            </w:r>
          </w:p>
          <w:p w14:paraId="135832F1" w14:textId="6C520F75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B3 – 3.3%</w:t>
            </w:r>
          </w:p>
          <w:p w14:paraId="07216347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B4 – 2.1%</w:t>
            </w:r>
          </w:p>
          <w:p w14:paraId="2F9E92F5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B5 – 2.1%</w:t>
            </w:r>
          </w:p>
          <w:p w14:paraId="135832F2" w14:textId="5FB14B31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B6 – 2.8%</w:t>
            </w:r>
          </w:p>
          <w:p w14:paraId="62446F75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B7 – 2.9%</w:t>
            </w:r>
          </w:p>
          <w:p w14:paraId="79F5BE18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B8a – 0%</w:t>
            </w:r>
          </w:p>
          <w:p w14:paraId="135832F3" w14:textId="69EB10F0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B8b – 0%</w:t>
            </w:r>
          </w:p>
          <w:p w14:paraId="3A59D55D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B8c – 0%</w:t>
            </w:r>
          </w:p>
          <w:p w14:paraId="18C7BBD8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B8d – 0%</w:t>
            </w:r>
          </w:p>
          <w:p w14:paraId="135832F4" w14:textId="1ED627F6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B9 – 20%</w:t>
            </w:r>
          </w:p>
          <w:p w14:paraId="5EF8920A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VSM – 7.7%</w:t>
            </w:r>
          </w:p>
          <w:p w14:paraId="135832F5" w14:textId="4FDCA6D1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Other – 0%</w:t>
            </w:r>
          </w:p>
          <w:p w14:paraId="135832F6" w14:textId="77777777" w:rsidR="00D6447F" w:rsidRPr="002B6FDE" w:rsidRDefault="00D6447F" w:rsidP="008C61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4DB78" w14:textId="77777777" w:rsidR="0086310F" w:rsidRDefault="0086310F" w:rsidP="008C61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832F7" w14:textId="77777777" w:rsidR="00D6447F" w:rsidRPr="002B6FDE" w:rsidRDefault="00D6447F" w:rsidP="008C61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FDE">
              <w:rPr>
                <w:rFonts w:ascii="Arial" w:hAnsi="Arial" w:cs="Arial"/>
                <w:b/>
                <w:sz w:val="20"/>
                <w:szCs w:val="20"/>
              </w:rPr>
              <w:t>Non-Clinical Band Clusters</w:t>
            </w:r>
          </w:p>
          <w:p w14:paraId="135832F8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Cluster 1 (bands 1-4) – 3.1%</w:t>
            </w:r>
          </w:p>
          <w:p w14:paraId="135832F9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Cluster 2 (bands 5-7) – 2.6%</w:t>
            </w:r>
          </w:p>
          <w:p w14:paraId="135832FA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Cluster 3 (bands 8a-8b) – 0%</w:t>
            </w:r>
          </w:p>
          <w:p w14:paraId="135832FB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69853FD9">
              <w:rPr>
                <w:rFonts w:ascii="Arial" w:hAnsi="Arial" w:cs="Arial"/>
                <w:sz w:val="20"/>
                <w:szCs w:val="20"/>
              </w:rPr>
              <w:t>Cluster 4 (bands 8c-VSM) – 4.1%</w:t>
            </w:r>
          </w:p>
          <w:p w14:paraId="135832FD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2B6FD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B8FC25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Under B1 – 5.26%</w:t>
            </w:r>
          </w:p>
          <w:p w14:paraId="67C67F55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B1 – 0%</w:t>
            </w:r>
          </w:p>
          <w:p w14:paraId="0E2D0248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B2 – 2.04%</w:t>
            </w:r>
          </w:p>
          <w:p w14:paraId="135832FE" w14:textId="3FD29F10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B3 – 2.97%</w:t>
            </w:r>
          </w:p>
          <w:p w14:paraId="7E607530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B4 – 3.72%</w:t>
            </w:r>
          </w:p>
          <w:p w14:paraId="6C1B445A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B5 – 2.11%</w:t>
            </w:r>
          </w:p>
          <w:p w14:paraId="135832FF" w14:textId="02A76D5D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B6 – 2.06%</w:t>
            </w:r>
          </w:p>
          <w:p w14:paraId="42449872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B7 – 1.33%</w:t>
            </w:r>
          </w:p>
          <w:p w14:paraId="1ADD9749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lastRenderedPageBreak/>
              <w:t>B8a – 2.27%</w:t>
            </w:r>
          </w:p>
          <w:p w14:paraId="13583300" w14:textId="488B1626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B8b – 0%</w:t>
            </w:r>
          </w:p>
          <w:p w14:paraId="670C2E8F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B8c – 0%</w:t>
            </w:r>
          </w:p>
          <w:p w14:paraId="6A363C99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B8d – 0%</w:t>
            </w:r>
          </w:p>
          <w:p w14:paraId="13583301" w14:textId="7681BCD5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B9 – 0%</w:t>
            </w:r>
          </w:p>
          <w:p w14:paraId="1EC5A08C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VSM – 0%</w:t>
            </w:r>
          </w:p>
          <w:p w14:paraId="13583302" w14:textId="49FD8AE0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Consultants – 0.23%</w:t>
            </w:r>
          </w:p>
          <w:p w14:paraId="13583303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Non-Consultant career grade – 0.94%</w:t>
            </w:r>
          </w:p>
          <w:p w14:paraId="53E6C6CD" w14:textId="77777777" w:rsidR="00D6447F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Trainee grade – 1.17%</w:t>
            </w:r>
          </w:p>
          <w:p w14:paraId="13583304" w14:textId="1199C9FE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Other – 0%</w:t>
            </w:r>
          </w:p>
          <w:p w14:paraId="13583305" w14:textId="77777777" w:rsidR="00D6447F" w:rsidRPr="002B6FDE" w:rsidRDefault="00D6447F" w:rsidP="008C61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83306" w14:textId="77777777" w:rsidR="00D6447F" w:rsidRPr="002B6FDE" w:rsidRDefault="00D6447F" w:rsidP="008C61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FDE">
              <w:rPr>
                <w:rFonts w:ascii="Arial" w:hAnsi="Arial" w:cs="Arial"/>
                <w:b/>
                <w:sz w:val="20"/>
                <w:szCs w:val="20"/>
              </w:rPr>
              <w:t>Clinical Band Clusters</w:t>
            </w:r>
          </w:p>
          <w:p w14:paraId="13583307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Cluster 1 (bands 1-4) – 2.45%</w:t>
            </w:r>
          </w:p>
          <w:p w14:paraId="13583308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Cluster 2 (bands 5-7) – 1.97%</w:t>
            </w:r>
          </w:p>
          <w:p w14:paraId="13583309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Cluster 3 (bands 8a-8b) – 1.73%</w:t>
            </w:r>
          </w:p>
          <w:p w14:paraId="1358330A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Cluster 4 (bands 8c-VSM) – 0%</w:t>
            </w:r>
          </w:p>
          <w:p w14:paraId="1358330B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Cluster 5 (M&amp;D, Consultants) – 0.25%</w:t>
            </w:r>
          </w:p>
          <w:p w14:paraId="1358330C" w14:textId="77777777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Cluster 6 (M&amp;D, Non Consultants Career grade) – 0.97%</w:t>
            </w:r>
          </w:p>
          <w:p w14:paraId="1358330D" w14:textId="77777777" w:rsidR="00D6447F" w:rsidRPr="002B6FDE" w:rsidRDefault="00D6447F" w:rsidP="004B4C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Cluster 7 (M&amp;D, trainees) – 1.20%</w:t>
            </w:r>
          </w:p>
        </w:tc>
        <w:tc>
          <w:tcPr>
            <w:tcW w:w="3861" w:type="dxa"/>
          </w:tcPr>
          <w:p w14:paraId="1358332E" w14:textId="330AB1C6" w:rsidR="00D6447F" w:rsidRPr="00D6447F" w:rsidRDefault="00D6447F" w:rsidP="69853FD9">
            <w:pPr>
              <w:rPr>
                <w:rFonts w:ascii="Arial" w:hAnsi="Arial" w:cs="Arial"/>
                <w:sz w:val="20"/>
                <w:szCs w:val="20"/>
              </w:rPr>
            </w:pPr>
            <w:r w:rsidRPr="69853FD9">
              <w:rPr>
                <w:rFonts w:ascii="Arial" w:hAnsi="Arial" w:cs="Arial"/>
                <w:sz w:val="20"/>
                <w:szCs w:val="20"/>
              </w:rPr>
              <w:lastRenderedPageBreak/>
              <w:t>Overall 4</w:t>
            </w:r>
            <w:r w:rsidR="00DBDA18" w:rsidRPr="69853FD9">
              <w:rPr>
                <w:rFonts w:ascii="Arial" w:hAnsi="Arial" w:cs="Arial"/>
                <w:sz w:val="20"/>
                <w:szCs w:val="20"/>
              </w:rPr>
              <w:t>0</w:t>
            </w:r>
            <w:r w:rsidRPr="69853FD9">
              <w:rPr>
                <w:rFonts w:ascii="Arial" w:hAnsi="Arial" w:cs="Arial"/>
                <w:sz w:val="20"/>
                <w:szCs w:val="20"/>
              </w:rPr>
              <w:t xml:space="preserve">% of staff disability status is unknown, a </w:t>
            </w:r>
            <w:r w:rsidR="62678089" w:rsidRPr="69853FD9">
              <w:rPr>
                <w:rFonts w:ascii="Arial" w:hAnsi="Arial" w:cs="Arial"/>
                <w:sz w:val="20"/>
                <w:szCs w:val="20"/>
              </w:rPr>
              <w:t>1</w:t>
            </w:r>
            <w:r w:rsidRPr="69853FD9">
              <w:rPr>
                <w:rFonts w:ascii="Arial" w:hAnsi="Arial" w:cs="Arial"/>
                <w:sz w:val="20"/>
                <w:szCs w:val="20"/>
              </w:rPr>
              <w:t>% improvement compared to 20</w:t>
            </w:r>
            <w:r w:rsidR="56EE9D20" w:rsidRPr="69853FD9">
              <w:rPr>
                <w:rFonts w:ascii="Arial" w:hAnsi="Arial" w:cs="Arial"/>
                <w:sz w:val="20"/>
                <w:szCs w:val="20"/>
              </w:rPr>
              <w:t>20</w:t>
            </w:r>
            <w:r w:rsidRPr="69853F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58332F" w14:textId="77777777" w:rsidR="00D6447F" w:rsidRPr="00D6447F" w:rsidRDefault="00D6447F" w:rsidP="69853F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30" w14:textId="794A07D0" w:rsidR="00D6447F" w:rsidRDefault="00D6447F" w:rsidP="69853FD9">
            <w:pPr>
              <w:rPr>
                <w:rFonts w:ascii="Arial" w:hAnsi="Arial" w:cs="Arial"/>
                <w:sz w:val="20"/>
                <w:szCs w:val="20"/>
              </w:rPr>
            </w:pPr>
            <w:r w:rsidRPr="69853FD9">
              <w:rPr>
                <w:rFonts w:ascii="Arial" w:hAnsi="Arial" w:cs="Arial"/>
                <w:sz w:val="20"/>
                <w:szCs w:val="20"/>
              </w:rPr>
              <w:t>Of those for whom we do have a record of their status, 2</w:t>
            </w:r>
            <w:r w:rsidR="2CB38742" w:rsidRPr="69853FD9">
              <w:rPr>
                <w:rFonts w:ascii="Arial" w:hAnsi="Arial" w:cs="Arial"/>
                <w:sz w:val="20"/>
                <w:szCs w:val="20"/>
              </w:rPr>
              <w:t>.6</w:t>
            </w:r>
            <w:r w:rsidRPr="69853FD9">
              <w:rPr>
                <w:rFonts w:ascii="Arial" w:hAnsi="Arial" w:cs="Arial"/>
                <w:sz w:val="20"/>
                <w:szCs w:val="20"/>
              </w:rPr>
              <w:t xml:space="preserve">% of staff </w:t>
            </w:r>
            <w:proofErr w:type="gramStart"/>
            <w:r w:rsidRPr="69853FD9">
              <w:rPr>
                <w:rFonts w:ascii="Arial" w:hAnsi="Arial" w:cs="Arial"/>
                <w:sz w:val="20"/>
                <w:szCs w:val="20"/>
              </w:rPr>
              <w:t>have</w:t>
            </w:r>
            <w:proofErr w:type="gramEnd"/>
            <w:r w:rsidRPr="69853FD9">
              <w:rPr>
                <w:rFonts w:ascii="Arial" w:hAnsi="Arial" w:cs="Arial"/>
                <w:sz w:val="20"/>
                <w:szCs w:val="20"/>
              </w:rPr>
              <w:t xml:space="preserve"> declared a disability</w:t>
            </w:r>
            <w:r w:rsidR="00020068">
              <w:rPr>
                <w:rFonts w:ascii="Arial" w:hAnsi="Arial" w:cs="Arial"/>
                <w:sz w:val="20"/>
                <w:szCs w:val="20"/>
              </w:rPr>
              <w:t>, which is an increase of 0.6% compared to the previous year.</w:t>
            </w:r>
          </w:p>
          <w:p w14:paraId="19890418" w14:textId="77777777" w:rsidR="00035200" w:rsidRDefault="00035200" w:rsidP="69853F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ED6D3" w14:textId="7AD4EAD0" w:rsidR="00035200" w:rsidRDefault="00035200" w:rsidP="69853F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Representation of disabled staff has increased across all non-clinical and band clusters.</w:t>
            </w:r>
          </w:p>
          <w:p w14:paraId="3FC4C5B4" w14:textId="77777777" w:rsidR="00D9537A" w:rsidRDefault="00D9537A" w:rsidP="69853F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16666" w14:textId="77777777" w:rsidR="00D9537A" w:rsidRPr="00D6447F" w:rsidRDefault="00D9537A" w:rsidP="69853F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31" w14:textId="77777777" w:rsidR="00D6447F" w:rsidRPr="00D6447F" w:rsidRDefault="00D6447F" w:rsidP="00305172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358334E" w14:textId="06C84753" w:rsidR="00D6447F" w:rsidRPr="002B6FDE" w:rsidRDefault="00D6447F" w:rsidP="69853FD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7" w:type="dxa"/>
          </w:tcPr>
          <w:p w14:paraId="679C1EE5" w14:textId="77777777" w:rsidR="009C5115" w:rsidRPr="009C5115" w:rsidRDefault="009C5115" w:rsidP="009C5115">
            <w:pPr>
              <w:rPr>
                <w:rFonts w:ascii="Arial" w:hAnsi="Arial" w:cs="Arial"/>
                <w:sz w:val="20"/>
                <w:szCs w:val="20"/>
              </w:rPr>
            </w:pPr>
            <w:r w:rsidRPr="009C5115">
              <w:rPr>
                <w:rFonts w:ascii="Arial" w:hAnsi="Arial" w:cs="Arial"/>
                <w:sz w:val="20"/>
                <w:szCs w:val="20"/>
              </w:rPr>
              <w:t xml:space="preserve">In March 2021 we launched a </w:t>
            </w:r>
            <w:r w:rsidR="00D6447F" w:rsidRPr="009C5115">
              <w:rPr>
                <w:rFonts w:ascii="Arial" w:hAnsi="Arial" w:cs="Arial"/>
                <w:sz w:val="20"/>
                <w:szCs w:val="20"/>
              </w:rPr>
              <w:t>campaign encouraging staff to access ESR Self-Service to update their personal</w:t>
            </w:r>
            <w:r w:rsidRPr="009C5115">
              <w:rPr>
                <w:rFonts w:ascii="Arial" w:hAnsi="Arial" w:cs="Arial"/>
                <w:sz w:val="20"/>
                <w:szCs w:val="20"/>
              </w:rPr>
              <w:t xml:space="preserve"> protected characteristic data. This led to an increase in disability declaration by 0.6%.</w:t>
            </w:r>
          </w:p>
          <w:p w14:paraId="7DBB9E7E" w14:textId="77777777" w:rsidR="009C5115" w:rsidRPr="009C5115" w:rsidRDefault="009C5115" w:rsidP="009C51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52" w14:textId="21BC370B" w:rsidR="009C5115" w:rsidRPr="009C5115" w:rsidRDefault="009C5115" w:rsidP="009C511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5115">
              <w:rPr>
                <w:rFonts w:ascii="Arial" w:hAnsi="Arial" w:cs="Arial"/>
                <w:sz w:val="20"/>
                <w:szCs w:val="20"/>
              </w:rPr>
              <w:t>We will repeat the campaign again in March 2022.</w:t>
            </w:r>
          </w:p>
        </w:tc>
      </w:tr>
      <w:tr w:rsidR="00D6447F" w:rsidRPr="002B6FDE" w14:paraId="13583369" w14:textId="77777777" w:rsidTr="5C0F10E0">
        <w:trPr>
          <w:trHeight w:val="469"/>
        </w:trPr>
        <w:tc>
          <w:tcPr>
            <w:tcW w:w="2127" w:type="dxa"/>
          </w:tcPr>
          <w:p w14:paraId="13583354" w14:textId="6B5A2EA0" w:rsidR="00D6447F" w:rsidRPr="002B6FDE" w:rsidRDefault="00D6447F" w:rsidP="002B6FDE">
            <w:pPr>
              <w:pStyle w:val="Pa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2. </w:t>
            </w: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Relative likelihood of Disabled staff compared to non-disabled staff being appointed from shortlisting across all posts.</w:t>
            </w:r>
            <w:r w:rsidRPr="002B6FD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This refers to both external and internal posts. </w:t>
            </w:r>
          </w:p>
          <w:p w14:paraId="13583355" w14:textId="77777777" w:rsidR="00D6447F" w:rsidRPr="002B6FDE" w:rsidRDefault="00D6447F" w:rsidP="00130FBD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E01F15" w14:textId="69C775F2" w:rsidR="00D6447F" w:rsidRPr="002B6FDE" w:rsidRDefault="63CEC3B8" w:rsidP="618BEE4E">
            <w:pPr>
              <w:rPr>
                <w:rFonts w:ascii="Arial" w:hAnsi="Arial" w:cs="Arial"/>
                <w:sz w:val="20"/>
                <w:szCs w:val="20"/>
              </w:rPr>
            </w:pPr>
            <w:r w:rsidRPr="69853FD9">
              <w:rPr>
                <w:rFonts w:ascii="Arial" w:hAnsi="Arial" w:cs="Arial"/>
                <w:sz w:val="20"/>
                <w:szCs w:val="20"/>
              </w:rPr>
              <w:t xml:space="preserve">Non-disabled </w:t>
            </w:r>
            <w:proofErr w:type="gramStart"/>
            <w:r w:rsidRPr="69853FD9">
              <w:rPr>
                <w:rFonts w:ascii="Arial" w:hAnsi="Arial" w:cs="Arial"/>
                <w:sz w:val="20"/>
                <w:szCs w:val="20"/>
              </w:rPr>
              <w:t>staff are</w:t>
            </w:r>
            <w:proofErr w:type="gramEnd"/>
            <w:r w:rsidRPr="69853FD9">
              <w:rPr>
                <w:rFonts w:ascii="Arial" w:hAnsi="Arial" w:cs="Arial"/>
                <w:sz w:val="20"/>
                <w:szCs w:val="20"/>
              </w:rPr>
              <w:t xml:space="preserve"> 1.67 times more likely to be appointed from shortlisting compared to disabled staff/applicants. This is </w:t>
            </w:r>
            <w:r w:rsidR="77CD1FA2" w:rsidRPr="69853FD9">
              <w:rPr>
                <w:rFonts w:ascii="Arial" w:hAnsi="Arial" w:cs="Arial"/>
                <w:sz w:val="20"/>
                <w:szCs w:val="20"/>
              </w:rPr>
              <w:t>a</w:t>
            </w:r>
            <w:r w:rsidRPr="69853FD9">
              <w:rPr>
                <w:rFonts w:ascii="Arial" w:hAnsi="Arial" w:cs="Arial"/>
                <w:sz w:val="20"/>
                <w:szCs w:val="20"/>
              </w:rPr>
              <w:t xml:space="preserve"> decrease of 0.14 from the previous year.</w:t>
            </w:r>
          </w:p>
          <w:p w14:paraId="47B433AB" w14:textId="79BC46F2" w:rsidR="00D6447F" w:rsidRPr="002B6FDE" w:rsidRDefault="00D6447F" w:rsidP="618BEE4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14:paraId="13583356" w14:textId="68600BDE" w:rsidR="00D6447F" w:rsidRPr="002B6FDE" w:rsidRDefault="00D6447F" w:rsidP="008C618E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 xml:space="preserve">Non-disabled </w:t>
            </w:r>
            <w:proofErr w:type="gramStart"/>
            <w:r w:rsidRPr="002B6FDE">
              <w:rPr>
                <w:rFonts w:ascii="Arial" w:hAnsi="Arial" w:cs="Arial"/>
                <w:sz w:val="20"/>
                <w:szCs w:val="20"/>
              </w:rPr>
              <w:t>staff are</w:t>
            </w:r>
            <w:proofErr w:type="gramEnd"/>
            <w:r w:rsidRPr="002B6FDE">
              <w:rPr>
                <w:rFonts w:ascii="Arial" w:hAnsi="Arial" w:cs="Arial"/>
                <w:sz w:val="20"/>
                <w:szCs w:val="20"/>
              </w:rPr>
              <w:t xml:space="preserve"> 1.81 times more likely to be appointed from shortlisting compared to disabled staff/applicants. This is an increase of 0.38 from the previous year. </w:t>
            </w:r>
          </w:p>
        </w:tc>
        <w:tc>
          <w:tcPr>
            <w:tcW w:w="3861" w:type="dxa"/>
          </w:tcPr>
          <w:p w14:paraId="13583358" w14:textId="7EBCE3C5" w:rsidR="00D6447F" w:rsidRPr="00020068" w:rsidRDefault="00D6447F" w:rsidP="00305172">
            <w:pPr>
              <w:rPr>
                <w:rFonts w:ascii="Arial" w:hAnsi="Arial" w:cs="Arial"/>
                <w:sz w:val="20"/>
                <w:szCs w:val="20"/>
              </w:rPr>
            </w:pPr>
            <w:r w:rsidRPr="00020068">
              <w:rPr>
                <w:rFonts w:ascii="Arial" w:hAnsi="Arial" w:cs="Arial"/>
                <w:sz w:val="20"/>
                <w:szCs w:val="20"/>
              </w:rPr>
              <w:t xml:space="preserve">A figure below 1.0 would indicate that disabled staff members are more likely to be appointed than non-disabled staff. </w:t>
            </w:r>
          </w:p>
          <w:p w14:paraId="13583359" w14:textId="77777777" w:rsidR="00D6447F" w:rsidRPr="00020068" w:rsidRDefault="00D6447F" w:rsidP="003051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5A" w14:textId="1AB6151C" w:rsidR="00D6447F" w:rsidRPr="00020068" w:rsidRDefault="00D6447F" w:rsidP="00305172">
            <w:pPr>
              <w:rPr>
                <w:rFonts w:ascii="Arial" w:hAnsi="Arial" w:cs="Arial"/>
                <w:sz w:val="20"/>
                <w:szCs w:val="20"/>
              </w:rPr>
            </w:pPr>
            <w:r w:rsidRPr="00020068">
              <w:rPr>
                <w:rFonts w:ascii="Arial" w:hAnsi="Arial" w:cs="Arial"/>
                <w:sz w:val="20"/>
                <w:szCs w:val="20"/>
              </w:rPr>
              <w:t xml:space="preserve">Latest data indicates that disabled applicants are less likely to be appointed from shortlisting than non-disabled applicants, </w:t>
            </w:r>
            <w:r w:rsidR="71E54DA6" w:rsidRPr="00020068">
              <w:rPr>
                <w:rFonts w:ascii="Arial" w:hAnsi="Arial" w:cs="Arial"/>
                <w:sz w:val="20"/>
                <w:szCs w:val="20"/>
              </w:rPr>
              <w:t>but</w:t>
            </w:r>
            <w:r w:rsidRPr="00020068">
              <w:rPr>
                <w:rFonts w:ascii="Arial" w:hAnsi="Arial" w:cs="Arial"/>
                <w:sz w:val="20"/>
                <w:szCs w:val="20"/>
              </w:rPr>
              <w:t xml:space="preserve"> this likelihood has </w:t>
            </w:r>
            <w:r w:rsidR="28560D2C" w:rsidRPr="00020068">
              <w:rPr>
                <w:rFonts w:ascii="Arial" w:hAnsi="Arial" w:cs="Arial"/>
                <w:sz w:val="20"/>
                <w:szCs w:val="20"/>
              </w:rPr>
              <w:t>de</w:t>
            </w:r>
            <w:r w:rsidRPr="00020068">
              <w:rPr>
                <w:rFonts w:ascii="Arial" w:hAnsi="Arial" w:cs="Arial"/>
                <w:sz w:val="20"/>
                <w:szCs w:val="20"/>
              </w:rPr>
              <w:t>creased</w:t>
            </w:r>
            <w:r w:rsidR="2184CA50" w:rsidRPr="000200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068">
              <w:rPr>
                <w:rFonts w:ascii="Arial" w:hAnsi="Arial" w:cs="Arial"/>
                <w:sz w:val="20"/>
                <w:szCs w:val="20"/>
              </w:rPr>
              <w:t>by 0.14</w:t>
            </w:r>
            <w:r w:rsidRPr="00020068">
              <w:rPr>
                <w:rFonts w:ascii="Arial" w:hAnsi="Arial" w:cs="Arial"/>
                <w:sz w:val="20"/>
                <w:szCs w:val="20"/>
              </w:rPr>
              <w:t xml:space="preserve"> compared to the previous year.</w:t>
            </w:r>
          </w:p>
          <w:p w14:paraId="1358335C" w14:textId="77777777" w:rsidR="00D6447F" w:rsidRPr="00D6447F" w:rsidRDefault="00D6447F" w:rsidP="0030517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  <w:tc>
          <w:tcPr>
            <w:tcW w:w="4077" w:type="dxa"/>
          </w:tcPr>
          <w:p w14:paraId="13583368" w14:textId="2CB8E89F" w:rsidR="00D6447F" w:rsidRPr="008E5FCB" w:rsidRDefault="008E5FCB" w:rsidP="008E5FCB">
            <w:pPr>
              <w:rPr>
                <w:rFonts w:ascii="Arial" w:hAnsi="Arial" w:cs="Arial"/>
                <w:sz w:val="20"/>
                <w:szCs w:val="20"/>
              </w:rPr>
            </w:pPr>
            <w:r w:rsidRPr="008E5FCB">
              <w:rPr>
                <w:rFonts w:ascii="Arial" w:hAnsi="Arial" w:cs="Arial"/>
                <w:sz w:val="20"/>
                <w:szCs w:val="20"/>
              </w:rPr>
              <w:t>We have launched a new Recruitment Policy in June 2021. Please refer to the “Equality Diversity and Inclusion: One Year On” report, which was presented to the Trust Board in July 2021.</w:t>
            </w:r>
          </w:p>
        </w:tc>
      </w:tr>
      <w:tr w:rsidR="00D6447F" w:rsidRPr="002B6FDE" w14:paraId="1358337B" w14:textId="77777777" w:rsidTr="5C0F10E0">
        <w:trPr>
          <w:trHeight w:val="128"/>
        </w:trPr>
        <w:tc>
          <w:tcPr>
            <w:tcW w:w="2127" w:type="dxa"/>
          </w:tcPr>
          <w:tbl>
            <w:tblPr>
              <w:tblW w:w="42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8"/>
            </w:tblGrid>
            <w:tr w:rsidR="00D6447F" w:rsidRPr="002B6FDE" w14:paraId="1358336B" w14:textId="77777777" w:rsidTr="007D6B9E">
              <w:trPr>
                <w:trHeight w:val="669"/>
              </w:trPr>
              <w:tc>
                <w:tcPr>
                  <w:tcW w:w="4278" w:type="dxa"/>
                </w:tcPr>
                <w:p w14:paraId="1358336A" w14:textId="633CC0AF" w:rsidR="00D6447F" w:rsidRPr="002B6FDE" w:rsidRDefault="00D6447F" w:rsidP="002B6FDE">
                  <w:pPr>
                    <w:pStyle w:val="ListParagraph"/>
                    <w:autoSpaceDE w:val="0"/>
                    <w:autoSpaceDN w:val="0"/>
                    <w:adjustRightInd w:val="0"/>
                    <w:spacing w:line="241" w:lineRule="atLeast"/>
                    <w:ind w:left="-74" w:right="229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3. </w:t>
                  </w:r>
                  <w:r w:rsidRPr="002B6FD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Relative likelihood of Disabled staff compared to non-</w:t>
                  </w:r>
                  <w:r w:rsidRPr="002B6FD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lastRenderedPageBreak/>
                    <w:t>disabled staff entering the formal capability process, as measured by entry into the formal capability procedure.</w:t>
                  </w:r>
                </w:p>
              </w:tc>
            </w:tr>
          </w:tbl>
          <w:p w14:paraId="1358336C" w14:textId="77777777" w:rsidR="00D6447F" w:rsidRPr="002B6FDE" w:rsidRDefault="00D6447F" w:rsidP="004E4FDF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F36B35" w14:textId="6DFF330F" w:rsidR="00D6447F" w:rsidRPr="002B6FDE" w:rsidRDefault="5E634031" w:rsidP="618BEE4E">
            <w:pPr>
              <w:rPr>
                <w:rFonts w:ascii="Arial" w:hAnsi="Arial" w:cs="Arial"/>
                <w:sz w:val="20"/>
                <w:szCs w:val="20"/>
              </w:rPr>
            </w:pPr>
            <w:r w:rsidRPr="618BEE4E">
              <w:rPr>
                <w:rFonts w:ascii="Arial" w:hAnsi="Arial" w:cs="Arial"/>
                <w:sz w:val="20"/>
                <w:szCs w:val="20"/>
              </w:rPr>
              <w:lastRenderedPageBreak/>
              <w:t xml:space="preserve">Disabled staff are no more likely to enter the formal capability process compared to </w:t>
            </w:r>
            <w:r w:rsidRPr="618BEE4E">
              <w:rPr>
                <w:rFonts w:ascii="Arial" w:hAnsi="Arial" w:cs="Arial"/>
                <w:sz w:val="20"/>
                <w:szCs w:val="20"/>
              </w:rPr>
              <w:lastRenderedPageBreak/>
              <w:t>non-disabled staff (0)</w:t>
            </w:r>
          </w:p>
          <w:p w14:paraId="7256B1F8" w14:textId="64128144" w:rsidR="00D6447F" w:rsidRPr="002B6FDE" w:rsidRDefault="00D6447F" w:rsidP="618BEE4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14:paraId="1358336D" w14:textId="6DFF330F" w:rsidR="00D6447F" w:rsidRPr="002B6FDE" w:rsidRDefault="00D6447F" w:rsidP="000912AA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lastRenderedPageBreak/>
              <w:t xml:space="preserve">Disabled staff are no more likely to enter the formal capability process </w:t>
            </w:r>
            <w:r w:rsidRPr="002B6FDE">
              <w:rPr>
                <w:rFonts w:ascii="Arial" w:hAnsi="Arial" w:cs="Arial"/>
                <w:sz w:val="20"/>
                <w:szCs w:val="20"/>
              </w:rPr>
              <w:lastRenderedPageBreak/>
              <w:t>compared to non-disabled staff (0)</w:t>
            </w:r>
          </w:p>
        </w:tc>
        <w:tc>
          <w:tcPr>
            <w:tcW w:w="3861" w:type="dxa"/>
          </w:tcPr>
          <w:p w14:paraId="1358336F" w14:textId="77777777" w:rsidR="00D6447F" w:rsidRPr="00020068" w:rsidRDefault="00D6447F" w:rsidP="006D76BA">
            <w:pPr>
              <w:rPr>
                <w:rFonts w:ascii="Arial" w:hAnsi="Arial" w:cs="Arial"/>
                <w:sz w:val="20"/>
                <w:szCs w:val="20"/>
              </w:rPr>
            </w:pPr>
            <w:r w:rsidRPr="00020068">
              <w:rPr>
                <w:rFonts w:ascii="Arial" w:hAnsi="Arial" w:cs="Arial"/>
                <w:sz w:val="20"/>
                <w:szCs w:val="20"/>
              </w:rPr>
              <w:lastRenderedPageBreak/>
              <w:t xml:space="preserve">This figure is a rolling-average over two years. </w:t>
            </w:r>
          </w:p>
          <w:p w14:paraId="13583370" w14:textId="77777777" w:rsidR="00D6447F" w:rsidRPr="00020068" w:rsidRDefault="00D6447F" w:rsidP="006D76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71" w14:textId="77777777" w:rsidR="00D6447F" w:rsidRPr="00020068" w:rsidRDefault="00D6447F" w:rsidP="006D76BA">
            <w:pPr>
              <w:rPr>
                <w:rFonts w:ascii="Arial" w:hAnsi="Arial" w:cs="Arial"/>
                <w:sz w:val="20"/>
                <w:szCs w:val="20"/>
              </w:rPr>
            </w:pPr>
            <w:r w:rsidRPr="00020068">
              <w:rPr>
                <w:rFonts w:ascii="Arial" w:hAnsi="Arial" w:cs="Arial"/>
                <w:sz w:val="20"/>
                <w:szCs w:val="20"/>
              </w:rPr>
              <w:lastRenderedPageBreak/>
              <w:t xml:space="preserve">A figure above 1.0 indicates that disabled </w:t>
            </w:r>
            <w:proofErr w:type="gramStart"/>
            <w:r w:rsidRPr="00020068">
              <w:rPr>
                <w:rFonts w:ascii="Arial" w:hAnsi="Arial" w:cs="Arial"/>
                <w:sz w:val="20"/>
                <w:szCs w:val="20"/>
              </w:rPr>
              <w:t>staff are</w:t>
            </w:r>
            <w:proofErr w:type="gramEnd"/>
            <w:r w:rsidRPr="00020068">
              <w:rPr>
                <w:rFonts w:ascii="Arial" w:hAnsi="Arial" w:cs="Arial"/>
                <w:sz w:val="20"/>
                <w:szCs w:val="20"/>
              </w:rPr>
              <w:t xml:space="preserve"> more likely than non-disabled staff to enter the formal capability process. </w:t>
            </w:r>
          </w:p>
          <w:p w14:paraId="13583372" w14:textId="77777777" w:rsidR="00D6447F" w:rsidRPr="00020068" w:rsidRDefault="00D6447F" w:rsidP="006D76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73" w14:textId="77777777" w:rsidR="00D6447F" w:rsidRPr="00020068" w:rsidRDefault="00D6447F" w:rsidP="006D76BA">
            <w:pPr>
              <w:rPr>
                <w:rFonts w:ascii="Arial" w:hAnsi="Arial" w:cs="Arial"/>
                <w:sz w:val="20"/>
                <w:szCs w:val="20"/>
              </w:rPr>
            </w:pPr>
            <w:r w:rsidRPr="00020068">
              <w:rPr>
                <w:rFonts w:ascii="Arial" w:hAnsi="Arial" w:cs="Arial"/>
                <w:sz w:val="20"/>
                <w:szCs w:val="20"/>
              </w:rPr>
              <w:t>There are no colleagues who have entered the formal capability process.</w:t>
            </w:r>
          </w:p>
          <w:p w14:paraId="13583374" w14:textId="77777777" w:rsidR="00D6447F" w:rsidRPr="00D6447F" w:rsidRDefault="00D6447F" w:rsidP="006D76BA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  <w:tc>
          <w:tcPr>
            <w:tcW w:w="4077" w:type="dxa"/>
          </w:tcPr>
          <w:p w14:paraId="13583375" w14:textId="6656A3A9" w:rsidR="00D6447F" w:rsidRPr="008E5FCB" w:rsidRDefault="00D6447F" w:rsidP="0033648C">
            <w:pPr>
              <w:rPr>
                <w:rFonts w:ascii="Arial" w:hAnsi="Arial" w:cs="Arial"/>
                <w:sz w:val="20"/>
                <w:szCs w:val="20"/>
              </w:rPr>
            </w:pPr>
            <w:r w:rsidRPr="008E5FCB">
              <w:rPr>
                <w:rFonts w:ascii="Arial" w:hAnsi="Arial" w:cs="Arial"/>
                <w:sz w:val="20"/>
                <w:szCs w:val="20"/>
              </w:rPr>
              <w:lastRenderedPageBreak/>
              <w:t xml:space="preserve">We have </w:t>
            </w:r>
            <w:r w:rsidR="008E5FCB" w:rsidRPr="008E5FCB">
              <w:rPr>
                <w:rFonts w:ascii="Arial" w:hAnsi="Arial" w:cs="Arial"/>
                <w:sz w:val="20"/>
                <w:szCs w:val="20"/>
              </w:rPr>
              <w:t>launched Compassionate Leadership training which is mandatory for all managers and leaders in the Trust.</w:t>
            </w:r>
          </w:p>
          <w:p w14:paraId="24D17CD0" w14:textId="77777777" w:rsidR="008E5FCB" w:rsidRPr="008E5FCB" w:rsidRDefault="008E5FCB" w:rsidP="003364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FDBD9" w14:textId="77777777" w:rsidR="00D6447F" w:rsidRDefault="008E5FCB" w:rsidP="008E5FCB">
            <w:pPr>
              <w:rPr>
                <w:rFonts w:ascii="Arial" w:hAnsi="Arial" w:cs="Arial"/>
                <w:sz w:val="20"/>
                <w:szCs w:val="20"/>
              </w:rPr>
            </w:pPr>
            <w:r w:rsidRPr="008E5FCB">
              <w:rPr>
                <w:rFonts w:ascii="Arial" w:hAnsi="Arial" w:cs="Arial"/>
                <w:sz w:val="20"/>
                <w:szCs w:val="20"/>
              </w:rPr>
              <w:t>We have a number of actions planned to support the growth of our compassionate, just and inclusive culture which includes an emphasis on colleague health and wellbeing.</w:t>
            </w:r>
          </w:p>
          <w:p w14:paraId="4511E1E8" w14:textId="77777777" w:rsidR="008E5FCB" w:rsidRDefault="008E5FCB" w:rsidP="008E5F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53416" w14:textId="202C1021" w:rsidR="008E5FCB" w:rsidRDefault="008E5FCB" w:rsidP="008E5FCB">
            <w:pPr>
              <w:rPr>
                <w:rFonts w:ascii="Arial" w:hAnsi="Arial" w:cs="Arial"/>
                <w:sz w:val="20"/>
                <w:szCs w:val="20"/>
              </w:rPr>
            </w:pPr>
            <w:r w:rsidRPr="008E5FCB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Pr="008E5FCB">
              <w:rPr>
                <w:rFonts w:ascii="Arial" w:hAnsi="Arial" w:cs="Arial"/>
                <w:sz w:val="20"/>
                <w:szCs w:val="20"/>
              </w:rPr>
              <w:t>refer to the “Equality Diversity and Inclusion: One Year On” report, which was presented to the Trust Board in July 2021.</w:t>
            </w:r>
          </w:p>
          <w:p w14:paraId="1358337A" w14:textId="5A146576" w:rsidR="008E5FCB" w:rsidRPr="008E5FCB" w:rsidRDefault="008E5FCB" w:rsidP="008E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47F" w:rsidRPr="002B6FDE" w14:paraId="135833A2" w14:textId="77777777" w:rsidTr="5C0F10E0">
        <w:trPr>
          <w:trHeight w:val="128"/>
        </w:trPr>
        <w:tc>
          <w:tcPr>
            <w:tcW w:w="2127" w:type="dxa"/>
          </w:tcPr>
          <w:p w14:paraId="1358337C" w14:textId="13ADF90E" w:rsidR="00D6447F" w:rsidRPr="002B6FDE" w:rsidRDefault="00D6447F" w:rsidP="00130FBD">
            <w:pPr>
              <w:pStyle w:val="Pa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4a. Percentage of Disabled staff compared to non-disabled staff experiencing harassment, bullying or abuse from:</w:t>
            </w:r>
          </w:p>
          <w:p w14:paraId="1358337D" w14:textId="77777777" w:rsidR="00D6447F" w:rsidRPr="002B6FDE" w:rsidRDefault="00D6447F" w:rsidP="00FC34F4">
            <w:pPr>
              <w:pStyle w:val="Pa0"/>
              <w:numPr>
                <w:ilvl w:val="0"/>
                <w:numId w:val="9"/>
              </w:numPr>
              <w:ind w:hanging="1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FDE">
              <w:rPr>
                <w:rFonts w:ascii="Arial" w:hAnsi="Arial" w:cs="Arial"/>
                <w:color w:val="000000"/>
                <w:sz w:val="20"/>
                <w:szCs w:val="20"/>
              </w:rPr>
              <w:t>Patients/service users, their relatives or other members of the public</w:t>
            </w:r>
          </w:p>
          <w:p w14:paraId="1358337E" w14:textId="77777777" w:rsidR="00D6447F" w:rsidRPr="002B6FDE" w:rsidRDefault="00D6447F" w:rsidP="00FC34F4">
            <w:pPr>
              <w:pStyle w:val="Pa0"/>
              <w:numPr>
                <w:ilvl w:val="0"/>
                <w:numId w:val="9"/>
              </w:numPr>
              <w:ind w:hanging="1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FDE">
              <w:rPr>
                <w:rFonts w:ascii="Arial" w:hAnsi="Arial" w:cs="Arial"/>
                <w:color w:val="000000"/>
                <w:sz w:val="20"/>
                <w:szCs w:val="20"/>
              </w:rPr>
              <w:t>Managers</w:t>
            </w:r>
          </w:p>
          <w:p w14:paraId="1358337F" w14:textId="77777777" w:rsidR="00D6447F" w:rsidRPr="002B6FDE" w:rsidRDefault="00D6447F" w:rsidP="00FC34F4">
            <w:pPr>
              <w:pStyle w:val="Pa0"/>
              <w:numPr>
                <w:ilvl w:val="0"/>
                <w:numId w:val="9"/>
              </w:numPr>
              <w:ind w:hanging="1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FDE">
              <w:rPr>
                <w:rFonts w:ascii="Arial" w:hAnsi="Arial" w:cs="Arial"/>
                <w:color w:val="000000"/>
                <w:sz w:val="20"/>
                <w:szCs w:val="20"/>
              </w:rPr>
              <w:t>Other colleagues</w:t>
            </w:r>
          </w:p>
          <w:p w14:paraId="13583380" w14:textId="77777777" w:rsidR="00D6447F" w:rsidRPr="002B6FDE" w:rsidRDefault="00D6447F" w:rsidP="00130FBD">
            <w:pPr>
              <w:pStyle w:val="Pa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5A872D" w14:textId="45FABC55" w:rsidR="00D6447F" w:rsidRPr="00DA24A3" w:rsidRDefault="00D6447F" w:rsidP="00232E2B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i. Disabled – 3</w:t>
            </w:r>
            <w:r w:rsidR="0086310F" w:rsidRPr="00DA24A3">
              <w:rPr>
                <w:rFonts w:ascii="Arial" w:hAnsi="Arial" w:cs="Arial"/>
                <w:sz w:val="20"/>
                <w:szCs w:val="20"/>
              </w:rPr>
              <w:t>2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900BCAA" w14:textId="6C153F3C" w:rsidR="00D6447F" w:rsidRPr="00DA24A3" w:rsidRDefault="00D6447F" w:rsidP="00232E2B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Non-disabled – 2</w:t>
            </w:r>
            <w:r w:rsidR="0086310F" w:rsidRPr="00DA24A3">
              <w:rPr>
                <w:rFonts w:ascii="Arial" w:hAnsi="Arial" w:cs="Arial"/>
                <w:sz w:val="20"/>
                <w:szCs w:val="20"/>
              </w:rPr>
              <w:t>7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C528E23" w14:textId="77777777" w:rsidR="00D6447F" w:rsidRPr="00DA24A3" w:rsidRDefault="00D6447F" w:rsidP="00232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3C064" w14:textId="77777777" w:rsidR="00D6447F" w:rsidRPr="00DA24A3" w:rsidRDefault="00D6447F" w:rsidP="00232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8707A" w14:textId="201D3FF3" w:rsidR="00D6447F" w:rsidRPr="00DA24A3" w:rsidRDefault="00D6447F" w:rsidP="00232E2B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ii. Disabled – 18</w:t>
            </w:r>
            <w:r w:rsidR="5345FAA6" w:rsidRPr="00DA24A3">
              <w:rPr>
                <w:rFonts w:ascii="Arial" w:hAnsi="Arial" w:cs="Arial"/>
                <w:sz w:val="20"/>
                <w:szCs w:val="20"/>
              </w:rPr>
              <w:t>.0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71FE259" w14:textId="40BFFE8C" w:rsidR="00D6447F" w:rsidRPr="00DA24A3" w:rsidRDefault="00D6447F" w:rsidP="00232E2B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non-disabled – 11%</w:t>
            </w:r>
          </w:p>
          <w:p w14:paraId="3D3B24B5" w14:textId="77777777" w:rsidR="00D6447F" w:rsidRPr="00DA24A3" w:rsidRDefault="00D6447F" w:rsidP="00232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C0C52" w14:textId="77777777" w:rsidR="00D6447F" w:rsidRPr="00DA24A3" w:rsidRDefault="00D6447F" w:rsidP="00232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17418" w14:textId="764DB170" w:rsidR="00D6447F" w:rsidRPr="00DA24A3" w:rsidRDefault="00D6447F" w:rsidP="00232E2B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iii. Disabled – 26%</w:t>
            </w:r>
          </w:p>
          <w:p w14:paraId="7FA44D4A" w14:textId="6A2F66BD" w:rsidR="00D6447F" w:rsidRPr="00DA24A3" w:rsidRDefault="00D6447F" w:rsidP="00232E2B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non-disabled – 19%</w:t>
            </w:r>
          </w:p>
        </w:tc>
        <w:tc>
          <w:tcPr>
            <w:tcW w:w="2693" w:type="dxa"/>
          </w:tcPr>
          <w:p w14:paraId="13583381" w14:textId="27479131" w:rsidR="00D6447F" w:rsidRPr="002B6FDE" w:rsidRDefault="00D6447F" w:rsidP="00FD54E0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FDE">
              <w:rPr>
                <w:rFonts w:ascii="Arial" w:hAnsi="Arial" w:cs="Arial"/>
                <w:sz w:val="20"/>
                <w:szCs w:val="20"/>
              </w:rPr>
              <w:t>Disabled – 35%</w:t>
            </w:r>
          </w:p>
          <w:p w14:paraId="13583382" w14:textId="77777777" w:rsidR="00D6447F" w:rsidRPr="002B6FDE" w:rsidRDefault="00D6447F" w:rsidP="004E4FDF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Non-disabled – 27.8%</w:t>
            </w:r>
          </w:p>
          <w:p w14:paraId="13583383" w14:textId="77777777" w:rsidR="00D6447F" w:rsidRPr="002B6FDE" w:rsidRDefault="00D6447F" w:rsidP="004E4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84" w14:textId="77777777" w:rsidR="00D6447F" w:rsidRPr="002B6FDE" w:rsidRDefault="00D6447F" w:rsidP="004E4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85" w14:textId="416C7435" w:rsidR="00D6447F" w:rsidRPr="002B6FDE" w:rsidRDefault="00D6447F" w:rsidP="004E4FDF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 xml:space="preserve">ii.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B6FDE">
              <w:rPr>
                <w:rFonts w:ascii="Arial" w:hAnsi="Arial" w:cs="Arial"/>
                <w:sz w:val="20"/>
                <w:szCs w:val="20"/>
              </w:rPr>
              <w:t>isabled – 18.6%</w:t>
            </w:r>
          </w:p>
          <w:p w14:paraId="13583386" w14:textId="77777777" w:rsidR="00D6447F" w:rsidRPr="002B6FDE" w:rsidRDefault="00D6447F" w:rsidP="004E4FDF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non-disabled 11.8%</w:t>
            </w:r>
          </w:p>
          <w:p w14:paraId="13583387" w14:textId="77777777" w:rsidR="00D6447F" w:rsidRPr="002B6FDE" w:rsidRDefault="00D6447F" w:rsidP="004E4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88" w14:textId="77777777" w:rsidR="00D6447F" w:rsidRPr="002B6FDE" w:rsidRDefault="00D6447F" w:rsidP="004E4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89" w14:textId="78B2E473" w:rsidR="00D6447F" w:rsidRPr="002B6FDE" w:rsidRDefault="00D6447F" w:rsidP="00FD54E0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iii.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2B6FDE">
              <w:rPr>
                <w:rFonts w:ascii="Arial" w:hAnsi="Arial" w:cs="Arial"/>
                <w:sz w:val="20"/>
                <w:szCs w:val="20"/>
              </w:rPr>
              <w:t>isabled 28.3%</w:t>
            </w:r>
          </w:p>
          <w:p w14:paraId="1358338A" w14:textId="77777777" w:rsidR="00D6447F" w:rsidRPr="002B6FDE" w:rsidRDefault="00D6447F" w:rsidP="00FD54E0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non-disabled 17.8%</w:t>
            </w:r>
          </w:p>
        </w:tc>
        <w:tc>
          <w:tcPr>
            <w:tcW w:w="3861" w:type="dxa"/>
          </w:tcPr>
          <w:p w14:paraId="13583393" w14:textId="77777777" w:rsidR="00D6447F" w:rsidRPr="002B6FDE" w:rsidRDefault="00D6447F" w:rsidP="00A53FC8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 xml:space="preserve">Disabled </w:t>
            </w:r>
            <w:proofErr w:type="gramStart"/>
            <w:r w:rsidRPr="002B6FDE">
              <w:rPr>
                <w:rFonts w:ascii="Arial" w:hAnsi="Arial" w:cs="Arial"/>
                <w:sz w:val="20"/>
                <w:szCs w:val="20"/>
              </w:rPr>
              <w:t>staff are</w:t>
            </w:r>
            <w:proofErr w:type="gramEnd"/>
            <w:r w:rsidRPr="002B6FDE">
              <w:rPr>
                <w:rFonts w:ascii="Arial" w:hAnsi="Arial" w:cs="Arial"/>
                <w:sz w:val="20"/>
                <w:szCs w:val="20"/>
              </w:rPr>
              <w:t xml:space="preserve"> consistently more likely to experience bullying, harassment and abuse from patients, members of the public, managers and colleagues compared to non-disabled staff. </w:t>
            </w:r>
          </w:p>
          <w:p w14:paraId="13583394" w14:textId="77777777" w:rsidR="00D6447F" w:rsidRPr="002B6FDE" w:rsidRDefault="00D6447F" w:rsidP="00A53F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97" w14:textId="4938EDBF" w:rsidR="00D6447F" w:rsidRPr="00D6447F" w:rsidRDefault="00D6447F" w:rsidP="00020068">
            <w:pPr>
              <w:rPr>
                <w:rFonts w:ascii="Arial" w:hAnsi="Arial" w:cs="Arial"/>
                <w:sz w:val="20"/>
                <w:szCs w:val="20"/>
              </w:rPr>
            </w:pPr>
            <w:r w:rsidRPr="618BEE4E">
              <w:rPr>
                <w:rFonts w:ascii="Arial" w:hAnsi="Arial" w:cs="Arial"/>
                <w:sz w:val="20"/>
                <w:szCs w:val="20"/>
              </w:rPr>
              <w:t xml:space="preserve">Scores against all three groups have improved for disabled staff compared to the previous year. </w:t>
            </w:r>
            <w:r w:rsidR="00020068">
              <w:rPr>
                <w:rFonts w:ascii="Arial" w:hAnsi="Arial" w:cs="Arial"/>
                <w:sz w:val="20"/>
                <w:szCs w:val="20"/>
              </w:rPr>
              <w:t>This should not de</w:t>
            </w:r>
            <w:r w:rsidR="69A2EEE0" w:rsidRPr="618BEE4E">
              <w:rPr>
                <w:rFonts w:ascii="Arial" w:hAnsi="Arial" w:cs="Arial"/>
                <w:sz w:val="20"/>
                <w:szCs w:val="20"/>
              </w:rPr>
              <w:t xml:space="preserve">tract from the fact that nearly 1 in 5 disabled staff say they’ve experienced </w:t>
            </w:r>
            <w:r w:rsidR="00020068">
              <w:rPr>
                <w:rFonts w:ascii="Arial" w:hAnsi="Arial" w:cs="Arial"/>
                <w:sz w:val="20"/>
                <w:szCs w:val="20"/>
              </w:rPr>
              <w:t>harassment, bullying or abuse</w:t>
            </w:r>
            <w:r w:rsidR="69A2EEE0" w:rsidRPr="618BEE4E">
              <w:rPr>
                <w:rFonts w:ascii="Arial" w:hAnsi="Arial" w:cs="Arial"/>
                <w:sz w:val="20"/>
                <w:szCs w:val="20"/>
              </w:rPr>
              <w:t xml:space="preserve"> from a manager, and more than a quarter </w:t>
            </w:r>
            <w:proofErr w:type="gramStart"/>
            <w:r w:rsidR="00020068">
              <w:rPr>
                <w:rFonts w:ascii="Arial" w:hAnsi="Arial" w:cs="Arial"/>
                <w:sz w:val="20"/>
                <w:szCs w:val="20"/>
              </w:rPr>
              <w:t>report</w:t>
            </w:r>
            <w:proofErr w:type="gramEnd"/>
            <w:r w:rsidR="00020068">
              <w:rPr>
                <w:rFonts w:ascii="Arial" w:hAnsi="Arial" w:cs="Arial"/>
                <w:sz w:val="20"/>
                <w:szCs w:val="20"/>
              </w:rPr>
              <w:t xml:space="preserve"> experiencing this </w:t>
            </w:r>
            <w:r w:rsidR="69A2EEE0" w:rsidRPr="618BEE4E">
              <w:rPr>
                <w:rFonts w:ascii="Arial" w:hAnsi="Arial" w:cs="Arial"/>
                <w:sz w:val="20"/>
                <w:szCs w:val="20"/>
              </w:rPr>
              <w:t>from their colleagues.</w:t>
            </w:r>
          </w:p>
        </w:tc>
        <w:tc>
          <w:tcPr>
            <w:tcW w:w="4077" w:type="dxa"/>
          </w:tcPr>
          <w:p w14:paraId="13583399" w14:textId="0A5125CC" w:rsidR="00D6447F" w:rsidRDefault="00D6447F" w:rsidP="008E5FCB">
            <w:pPr>
              <w:rPr>
                <w:rFonts w:ascii="Arial" w:hAnsi="Arial" w:cs="Arial"/>
                <w:sz w:val="20"/>
                <w:szCs w:val="20"/>
              </w:rPr>
            </w:pPr>
            <w:r w:rsidRPr="008E5FCB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8E5FCB" w:rsidRPr="008E5FCB">
              <w:rPr>
                <w:rFonts w:ascii="Arial" w:hAnsi="Arial" w:cs="Arial"/>
                <w:sz w:val="20"/>
                <w:szCs w:val="20"/>
              </w:rPr>
              <w:t>launched</w:t>
            </w:r>
            <w:r w:rsidRPr="008E5FCB">
              <w:rPr>
                <w:rFonts w:ascii="Arial" w:hAnsi="Arial" w:cs="Arial"/>
                <w:sz w:val="20"/>
                <w:szCs w:val="20"/>
              </w:rPr>
              <w:t xml:space="preserve"> our revised organisational values and a new behavioural framework in autumn 2020. </w:t>
            </w:r>
          </w:p>
          <w:p w14:paraId="6623B396" w14:textId="77777777" w:rsidR="008E5FCB" w:rsidRDefault="008E5FCB" w:rsidP="008E5F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D6F57" w14:textId="6741A3BB" w:rsidR="008E5FCB" w:rsidRDefault="008E5FCB" w:rsidP="008E5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Autumn 2021 we will be launching a Respectful Resolutions training programme </w:t>
            </w:r>
            <w:r w:rsidR="00334485">
              <w:rPr>
                <w:rFonts w:ascii="Arial" w:hAnsi="Arial" w:cs="Arial"/>
                <w:sz w:val="20"/>
                <w:szCs w:val="20"/>
              </w:rPr>
              <w:t xml:space="preserve">which focuses on rude and bullying behaviours, </w:t>
            </w:r>
            <w:r>
              <w:rPr>
                <w:rFonts w:ascii="Arial" w:hAnsi="Arial" w:cs="Arial"/>
                <w:sz w:val="20"/>
                <w:szCs w:val="20"/>
              </w:rPr>
              <w:t xml:space="preserve">alongside a revised Dignity at Work policy. For more details </w:t>
            </w:r>
            <w:r w:rsidRPr="008E5FCB">
              <w:rPr>
                <w:rFonts w:ascii="Arial" w:hAnsi="Arial" w:cs="Arial"/>
                <w:sz w:val="20"/>
                <w:szCs w:val="20"/>
              </w:rPr>
              <w:t>refer to the “Equality Diversity and Inclusion: One Year On” report, which was presented to the Trust Board in July 2021.</w:t>
            </w:r>
          </w:p>
          <w:p w14:paraId="135833A1" w14:textId="77777777" w:rsidR="00D6447F" w:rsidRPr="002B6FDE" w:rsidRDefault="00D6447F" w:rsidP="008E5FC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D6447F" w:rsidRPr="002B6FDE" w14:paraId="135833B4" w14:textId="77777777" w:rsidTr="5C0F10E0">
        <w:trPr>
          <w:trHeight w:val="128"/>
        </w:trPr>
        <w:tc>
          <w:tcPr>
            <w:tcW w:w="2127" w:type="dxa"/>
          </w:tcPr>
          <w:p w14:paraId="135833A3" w14:textId="77777777" w:rsidR="00D6447F" w:rsidRPr="002B6FDE" w:rsidRDefault="00D6447F" w:rsidP="00130FBD">
            <w:pPr>
              <w:pStyle w:val="Pa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4b. Percentage of Disabled staff compared to non-disabled staff saying that the last time they experienced harassment, bullying or abuse at work, they or a colleague reported it. </w:t>
            </w:r>
          </w:p>
          <w:p w14:paraId="135833A4" w14:textId="77777777" w:rsidR="00D6447F" w:rsidRPr="002B6FDE" w:rsidRDefault="00D6447F" w:rsidP="00130FBD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73E573" w14:textId="4E545CDD" w:rsidR="00D6447F" w:rsidRPr="00DA24A3" w:rsidRDefault="00D6447F" w:rsidP="00CE062C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Disabled – 4</w:t>
            </w:r>
            <w:r w:rsidR="0086310F" w:rsidRPr="00DA24A3">
              <w:rPr>
                <w:rFonts w:ascii="Arial" w:hAnsi="Arial" w:cs="Arial"/>
                <w:sz w:val="20"/>
                <w:szCs w:val="20"/>
              </w:rPr>
              <w:t>3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A6EF8A7" w14:textId="2081CA00" w:rsidR="00D6447F" w:rsidRPr="00DA24A3" w:rsidRDefault="00D6447F" w:rsidP="00CE062C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Non-disabled – 43%</w:t>
            </w:r>
          </w:p>
        </w:tc>
        <w:tc>
          <w:tcPr>
            <w:tcW w:w="2693" w:type="dxa"/>
          </w:tcPr>
          <w:p w14:paraId="135833A5" w14:textId="5FF7A482" w:rsidR="00D6447F" w:rsidRPr="002B6FDE" w:rsidRDefault="00D6447F" w:rsidP="00CB753C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Disabled – 42.3%</w:t>
            </w:r>
          </w:p>
          <w:p w14:paraId="135833A6" w14:textId="77777777" w:rsidR="00D6447F" w:rsidRPr="002B6FDE" w:rsidRDefault="00D6447F" w:rsidP="00FD54E0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Non-disabled 41.2%</w:t>
            </w:r>
          </w:p>
        </w:tc>
        <w:tc>
          <w:tcPr>
            <w:tcW w:w="3861" w:type="dxa"/>
          </w:tcPr>
          <w:p w14:paraId="135833A9" w14:textId="79B34222" w:rsidR="00D6447F" w:rsidRPr="00020068" w:rsidRDefault="00D6447F" w:rsidP="005F06DC">
            <w:pPr>
              <w:rPr>
                <w:rFonts w:ascii="Arial" w:hAnsi="Arial" w:cs="Arial"/>
                <w:sz w:val="20"/>
                <w:szCs w:val="20"/>
              </w:rPr>
            </w:pPr>
            <w:r w:rsidRPr="00020068">
              <w:rPr>
                <w:rFonts w:ascii="Arial" w:hAnsi="Arial" w:cs="Arial"/>
                <w:sz w:val="20"/>
                <w:szCs w:val="20"/>
              </w:rPr>
              <w:t xml:space="preserve">Disabled </w:t>
            </w:r>
            <w:proofErr w:type="gramStart"/>
            <w:r w:rsidRPr="00020068">
              <w:rPr>
                <w:rFonts w:ascii="Arial" w:hAnsi="Arial" w:cs="Arial"/>
                <w:sz w:val="20"/>
                <w:szCs w:val="20"/>
              </w:rPr>
              <w:t>staff are</w:t>
            </w:r>
            <w:proofErr w:type="gramEnd"/>
            <w:r w:rsidRPr="000200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068" w:rsidRPr="00020068">
              <w:rPr>
                <w:rFonts w:ascii="Arial" w:hAnsi="Arial" w:cs="Arial"/>
                <w:sz w:val="20"/>
                <w:szCs w:val="20"/>
              </w:rPr>
              <w:t>marginally less</w:t>
            </w:r>
            <w:r w:rsidRPr="00020068">
              <w:rPr>
                <w:rFonts w:ascii="Arial" w:hAnsi="Arial" w:cs="Arial"/>
                <w:sz w:val="20"/>
                <w:szCs w:val="20"/>
              </w:rPr>
              <w:t xml:space="preserve"> likely to report an incident of bullying and harassment or abuse at work compared to non-disabled staff.  </w:t>
            </w:r>
          </w:p>
          <w:p w14:paraId="135833AA" w14:textId="77777777" w:rsidR="00D6447F" w:rsidRPr="00D6447F" w:rsidRDefault="00D6447F" w:rsidP="005F06D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35833AB" w14:textId="2F90DA79" w:rsidR="00D6447F" w:rsidRPr="002B6FDE" w:rsidRDefault="00020068" w:rsidP="0002006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020068">
              <w:rPr>
                <w:rFonts w:ascii="Arial" w:hAnsi="Arial" w:cs="Arial"/>
                <w:sz w:val="20"/>
                <w:szCs w:val="20"/>
              </w:rPr>
              <w:t>The score</w:t>
            </w:r>
            <w:r w:rsidR="00D6447F" w:rsidRPr="00020068">
              <w:rPr>
                <w:rFonts w:ascii="Arial" w:hAnsi="Arial" w:cs="Arial"/>
                <w:sz w:val="20"/>
                <w:szCs w:val="20"/>
              </w:rPr>
              <w:t xml:space="preserve"> for both disabled </w:t>
            </w:r>
            <w:r w:rsidRPr="00020068">
              <w:rPr>
                <w:rFonts w:ascii="Arial" w:hAnsi="Arial" w:cs="Arial"/>
                <w:sz w:val="20"/>
                <w:szCs w:val="20"/>
              </w:rPr>
              <w:t>s</w:t>
            </w:r>
            <w:r w:rsidR="00D6447F" w:rsidRPr="00020068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376D62">
              <w:rPr>
                <w:rFonts w:ascii="Arial" w:hAnsi="Arial" w:cs="Arial"/>
                <w:sz w:val="20"/>
                <w:szCs w:val="20"/>
              </w:rPr>
              <w:t xml:space="preserve">has dropped by </w:t>
            </w:r>
            <w:r w:rsidR="00376D62" w:rsidRPr="00DA24A3">
              <w:rPr>
                <w:rFonts w:ascii="Arial" w:hAnsi="Arial" w:cs="Arial"/>
                <w:sz w:val="20"/>
                <w:szCs w:val="20"/>
              </w:rPr>
              <w:t>0.7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  <w:r w:rsidR="00D6447F" w:rsidRPr="00DA24A3">
              <w:rPr>
                <w:rFonts w:ascii="Arial" w:hAnsi="Arial" w:cs="Arial"/>
                <w:sz w:val="20"/>
                <w:szCs w:val="20"/>
              </w:rPr>
              <w:t xml:space="preserve"> compared to the previous year</w:t>
            </w:r>
            <w:r w:rsidR="00376D62" w:rsidRPr="00DA24A3">
              <w:rPr>
                <w:rFonts w:ascii="Arial" w:hAnsi="Arial" w:cs="Arial"/>
                <w:sz w:val="20"/>
                <w:szCs w:val="20"/>
              </w:rPr>
              <w:t>, and increased by 1.8</w:t>
            </w:r>
            <w:r w:rsidRPr="00DA24A3">
              <w:rPr>
                <w:rFonts w:ascii="Arial" w:hAnsi="Arial" w:cs="Arial"/>
                <w:sz w:val="20"/>
                <w:szCs w:val="20"/>
              </w:rPr>
              <w:t>% for non-disabled staff.</w:t>
            </w:r>
          </w:p>
        </w:tc>
        <w:tc>
          <w:tcPr>
            <w:tcW w:w="4077" w:type="dxa"/>
          </w:tcPr>
          <w:p w14:paraId="135833AC" w14:textId="77777777" w:rsidR="00D6447F" w:rsidRPr="00334485" w:rsidRDefault="00D6447F" w:rsidP="00305172">
            <w:pPr>
              <w:rPr>
                <w:rFonts w:ascii="Arial" w:hAnsi="Arial" w:cs="Arial"/>
                <w:sz w:val="20"/>
                <w:szCs w:val="20"/>
              </w:rPr>
            </w:pPr>
            <w:r w:rsidRPr="00334485">
              <w:rPr>
                <w:rFonts w:ascii="Arial" w:hAnsi="Arial" w:cs="Arial"/>
                <w:sz w:val="20"/>
                <w:szCs w:val="20"/>
              </w:rPr>
              <w:t xml:space="preserve">The Trust has Freedom to Speak Up Guardians who provide a confidential service for all staff members to raise concerns. </w:t>
            </w:r>
          </w:p>
          <w:p w14:paraId="135833AD" w14:textId="77777777" w:rsidR="00D6447F" w:rsidRPr="00334485" w:rsidRDefault="00D6447F" w:rsidP="003051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AE" w14:textId="22A81828" w:rsidR="00D6447F" w:rsidRPr="00334485" w:rsidRDefault="00D6447F" w:rsidP="0033648C">
            <w:pPr>
              <w:rPr>
                <w:rFonts w:ascii="Arial" w:hAnsi="Arial" w:cs="Arial"/>
                <w:sz w:val="20"/>
                <w:szCs w:val="20"/>
              </w:rPr>
            </w:pPr>
            <w:r w:rsidRPr="00334485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334485">
              <w:rPr>
                <w:rFonts w:ascii="Arial" w:hAnsi="Arial" w:cs="Arial"/>
                <w:sz w:val="20"/>
                <w:szCs w:val="20"/>
              </w:rPr>
              <w:t>appointed an Equality Diversity Inclusion</w:t>
            </w:r>
            <w:r w:rsidRPr="00334485">
              <w:rPr>
                <w:rFonts w:ascii="Arial" w:hAnsi="Arial" w:cs="Arial"/>
                <w:sz w:val="20"/>
                <w:szCs w:val="20"/>
              </w:rPr>
              <w:t xml:space="preserve"> Lead</w:t>
            </w:r>
            <w:r w:rsidR="00334485">
              <w:rPr>
                <w:rFonts w:ascii="Arial" w:hAnsi="Arial" w:cs="Arial"/>
                <w:sz w:val="20"/>
                <w:szCs w:val="20"/>
              </w:rPr>
              <w:t xml:space="preserve"> in summer 2020 who is also</w:t>
            </w:r>
            <w:r w:rsidRPr="00334485">
              <w:rPr>
                <w:rFonts w:ascii="Arial" w:hAnsi="Arial" w:cs="Arial"/>
                <w:sz w:val="20"/>
                <w:szCs w:val="20"/>
              </w:rPr>
              <w:t xml:space="preserve"> trained </w:t>
            </w:r>
            <w:r w:rsidR="00334485">
              <w:rPr>
                <w:rFonts w:ascii="Arial" w:hAnsi="Arial" w:cs="Arial"/>
                <w:sz w:val="20"/>
                <w:szCs w:val="20"/>
              </w:rPr>
              <w:t>as a Freedom to Speak up Guardian</w:t>
            </w:r>
            <w:r w:rsidRPr="003344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5833AF" w14:textId="77777777" w:rsidR="00D6447F" w:rsidRPr="00D6447F" w:rsidRDefault="00D6447F" w:rsidP="0030517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D3487BC" w14:textId="77777777" w:rsidR="00334485" w:rsidRDefault="00334485" w:rsidP="003344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Autumn 2021 we will be launching a Respectful Resolutions training programme which focuses on rude and bullying behaviours, alongside a revised Dignity at Work policy. For more details </w:t>
            </w:r>
            <w:r w:rsidRPr="008E5FCB">
              <w:rPr>
                <w:rFonts w:ascii="Arial" w:hAnsi="Arial" w:cs="Arial"/>
                <w:sz w:val="20"/>
                <w:szCs w:val="20"/>
              </w:rPr>
              <w:t xml:space="preserve">refer to the </w:t>
            </w:r>
            <w:r w:rsidRPr="008E5FCB">
              <w:rPr>
                <w:rFonts w:ascii="Arial" w:hAnsi="Arial" w:cs="Arial"/>
                <w:sz w:val="20"/>
                <w:szCs w:val="20"/>
              </w:rPr>
              <w:lastRenderedPageBreak/>
              <w:t>“Equality Diversity and Inclusion: One Year On” report, which was presented to the Trust Board in July 2021.</w:t>
            </w:r>
          </w:p>
          <w:p w14:paraId="135833B3" w14:textId="77777777" w:rsidR="00D6447F" w:rsidRPr="002B6FDE" w:rsidRDefault="00D6447F" w:rsidP="0033648C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D6447F" w:rsidRPr="002B6FDE" w14:paraId="135833C2" w14:textId="77777777" w:rsidTr="5C0F10E0">
        <w:trPr>
          <w:trHeight w:val="128"/>
        </w:trPr>
        <w:tc>
          <w:tcPr>
            <w:tcW w:w="2127" w:type="dxa"/>
          </w:tcPr>
          <w:p w14:paraId="135833B5" w14:textId="77777777" w:rsidR="00D6447F" w:rsidRPr="002B6FDE" w:rsidRDefault="00D6447F" w:rsidP="00130FBD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5. Percentage of Disabled staff compared to non-disabled staff believing that the Trust provides equal opportunities for career progression or promotion.</w:t>
            </w:r>
          </w:p>
        </w:tc>
        <w:tc>
          <w:tcPr>
            <w:tcW w:w="2977" w:type="dxa"/>
          </w:tcPr>
          <w:p w14:paraId="7BD40C1F" w14:textId="1E3EFBCD" w:rsidR="00D6447F" w:rsidRPr="00DA24A3" w:rsidRDefault="00D6447F" w:rsidP="007C305A">
            <w:pPr>
              <w:rPr>
                <w:rFonts w:ascii="Arial" w:hAnsi="Arial" w:cs="Arial"/>
                <w:sz w:val="20"/>
                <w:szCs w:val="20"/>
              </w:rPr>
            </w:pPr>
            <w:r w:rsidRPr="13393B15">
              <w:rPr>
                <w:rFonts w:ascii="Arial" w:hAnsi="Arial" w:cs="Arial"/>
                <w:sz w:val="20"/>
                <w:szCs w:val="20"/>
              </w:rPr>
              <w:t xml:space="preserve">Disabled – </w:t>
            </w:r>
            <w:r w:rsidRPr="00DA24A3">
              <w:rPr>
                <w:rFonts w:ascii="Arial" w:hAnsi="Arial" w:cs="Arial"/>
                <w:sz w:val="20"/>
                <w:szCs w:val="20"/>
              </w:rPr>
              <w:t>7</w:t>
            </w:r>
            <w:r w:rsidR="00376D62" w:rsidRPr="00DA24A3">
              <w:rPr>
                <w:rFonts w:ascii="Arial" w:hAnsi="Arial" w:cs="Arial"/>
                <w:sz w:val="20"/>
                <w:szCs w:val="20"/>
              </w:rPr>
              <w:t>9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0E1FAE0" w14:textId="0B094D3B" w:rsidR="00D6447F" w:rsidRPr="002B6FDE" w:rsidRDefault="00D6447F" w:rsidP="007C305A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Non-disabled – 8</w:t>
            </w:r>
            <w:r w:rsidR="00376D62" w:rsidRPr="00DA24A3">
              <w:rPr>
                <w:rFonts w:ascii="Arial" w:hAnsi="Arial" w:cs="Arial"/>
                <w:sz w:val="20"/>
                <w:szCs w:val="20"/>
              </w:rPr>
              <w:t>2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9F56955" w14:textId="77777777" w:rsidR="00D6447F" w:rsidRPr="002B6FDE" w:rsidRDefault="00D6447F" w:rsidP="00CB7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5833B6" w14:textId="33713B1C" w:rsidR="00D6447F" w:rsidRPr="002B6FDE" w:rsidRDefault="00D6447F" w:rsidP="00CB753C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Disabled – 79.6%</w:t>
            </w:r>
          </w:p>
          <w:p w14:paraId="135833B7" w14:textId="5B95C65A" w:rsidR="00D6447F" w:rsidRPr="002B6FDE" w:rsidRDefault="00D6447F" w:rsidP="00CB753C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 xml:space="preserve">Non-disabled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B6FDE">
              <w:rPr>
                <w:rFonts w:ascii="Arial" w:hAnsi="Arial" w:cs="Arial"/>
                <w:sz w:val="20"/>
                <w:szCs w:val="20"/>
              </w:rPr>
              <w:t>85.7%</w:t>
            </w:r>
          </w:p>
          <w:p w14:paraId="135833B8" w14:textId="77777777" w:rsidR="00D6447F" w:rsidRPr="002B6FDE" w:rsidRDefault="00D6447F" w:rsidP="00CB7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</w:tcPr>
          <w:p w14:paraId="3FF6B494" w14:textId="249087CC" w:rsidR="00D6447F" w:rsidRDefault="00D6447F" w:rsidP="00F80A14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 xml:space="preserve">Disabled staff </w:t>
            </w:r>
            <w:r w:rsidR="00020068">
              <w:rPr>
                <w:rFonts w:ascii="Arial" w:hAnsi="Arial" w:cs="Arial"/>
                <w:sz w:val="20"/>
                <w:szCs w:val="20"/>
              </w:rPr>
              <w:t>report</w:t>
            </w:r>
            <w:r w:rsidRPr="002B6FDE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="00020068">
              <w:rPr>
                <w:rFonts w:ascii="Arial" w:hAnsi="Arial" w:cs="Arial"/>
                <w:sz w:val="20"/>
                <w:szCs w:val="20"/>
              </w:rPr>
              <w:t>ing</w:t>
            </w:r>
            <w:r w:rsidRPr="002B6FDE">
              <w:rPr>
                <w:rFonts w:ascii="Arial" w:hAnsi="Arial" w:cs="Arial"/>
                <w:sz w:val="20"/>
                <w:szCs w:val="20"/>
              </w:rPr>
              <w:t xml:space="preserve"> less likely to believe the Trust offers equal opportunities for career progression compared to non-disabled </w:t>
            </w:r>
            <w:r>
              <w:rPr>
                <w:rFonts w:ascii="Arial" w:hAnsi="Arial" w:cs="Arial"/>
                <w:sz w:val="20"/>
                <w:szCs w:val="20"/>
              </w:rPr>
              <w:t>colleagues</w:t>
            </w:r>
            <w:r w:rsidRPr="002B6FD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67A72B8" w14:textId="77777777" w:rsidR="00D6447F" w:rsidRDefault="00D6447F" w:rsidP="00F80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BB" w14:textId="22534215" w:rsidR="00D6447F" w:rsidRPr="002B6FDE" w:rsidRDefault="00D6447F" w:rsidP="00621583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response to this question has dropped for both disabled and non-disabled</w:t>
            </w:r>
            <w:r w:rsidR="00621583">
              <w:rPr>
                <w:rFonts w:ascii="Arial" w:hAnsi="Arial" w:cs="Arial"/>
                <w:sz w:val="20"/>
                <w:szCs w:val="20"/>
              </w:rPr>
              <w:t xml:space="preserve"> colleagues – by a margin </w:t>
            </w:r>
            <w:r w:rsidR="00621583" w:rsidRPr="00DA24A3">
              <w:rPr>
                <w:rFonts w:ascii="Arial" w:hAnsi="Arial" w:cs="Arial"/>
                <w:sz w:val="20"/>
                <w:szCs w:val="20"/>
              </w:rPr>
              <w:t xml:space="preserve">of 0.6 % for </w:t>
            </w:r>
            <w:r w:rsidR="00FA0154" w:rsidRPr="00DA24A3">
              <w:rPr>
                <w:rFonts w:ascii="Arial" w:hAnsi="Arial" w:cs="Arial"/>
                <w:sz w:val="20"/>
                <w:szCs w:val="20"/>
              </w:rPr>
              <w:t>disabled and 0.7</w:t>
            </w:r>
            <w:r w:rsidRPr="00DA24A3">
              <w:rPr>
                <w:rFonts w:ascii="Arial" w:hAnsi="Arial" w:cs="Arial"/>
                <w:sz w:val="20"/>
                <w:szCs w:val="20"/>
              </w:rPr>
              <w:t xml:space="preserve">% for </w:t>
            </w:r>
            <w:r w:rsidR="00FA0154" w:rsidRPr="00DA24A3">
              <w:rPr>
                <w:rFonts w:ascii="Arial" w:hAnsi="Arial" w:cs="Arial"/>
                <w:sz w:val="20"/>
                <w:szCs w:val="20"/>
              </w:rPr>
              <w:t>non-disabled</w:t>
            </w:r>
            <w:r w:rsidRPr="00DA24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77" w:type="dxa"/>
          </w:tcPr>
          <w:p w14:paraId="06CB793C" w14:textId="1780C063" w:rsidR="00AB6EEB" w:rsidRDefault="00AB6EEB" w:rsidP="00AB6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Autumn 2021 we are launching a system-wide positive action development programme “Flourish”; aimed at ethnic minority, disabled and LGBTQ+ colleagues</w:t>
            </w:r>
            <w:r w:rsidRPr="008E5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F6B40F" w14:textId="77777777" w:rsidR="00AB6EEB" w:rsidRDefault="00AB6EEB" w:rsidP="00AB6E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6854F" w14:textId="416158F3" w:rsidR="00AB6EEB" w:rsidRDefault="00AB6EEB" w:rsidP="00AB6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details </w:t>
            </w:r>
            <w:r w:rsidRPr="008E5FCB">
              <w:rPr>
                <w:rFonts w:ascii="Arial" w:hAnsi="Arial" w:cs="Arial"/>
                <w:sz w:val="20"/>
                <w:szCs w:val="20"/>
              </w:rPr>
              <w:t>refer to the “Equality Diversity and Inclusion: One Year On” report, which was presented to the Trust Board in July 2021.</w:t>
            </w:r>
          </w:p>
          <w:p w14:paraId="135833C1" w14:textId="77777777" w:rsidR="00D6447F" w:rsidRPr="002B6FDE" w:rsidRDefault="00D6447F" w:rsidP="00AB6EE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D6447F" w:rsidRPr="002B6FDE" w14:paraId="135833D3" w14:textId="77777777" w:rsidTr="5C0F10E0">
        <w:trPr>
          <w:trHeight w:val="128"/>
        </w:trPr>
        <w:tc>
          <w:tcPr>
            <w:tcW w:w="2127" w:type="dxa"/>
          </w:tcPr>
          <w:p w14:paraId="135833C3" w14:textId="77777777" w:rsidR="00D6447F" w:rsidRPr="002B6FDE" w:rsidRDefault="00D6447F" w:rsidP="00130FBD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 Percentage of Disabled staff compared to non-disabled staff saying that they have felt pressure from their manager to come to work, despite not feeling well enough to perform their duties.</w:t>
            </w:r>
          </w:p>
        </w:tc>
        <w:tc>
          <w:tcPr>
            <w:tcW w:w="2977" w:type="dxa"/>
          </w:tcPr>
          <w:p w14:paraId="28E1F51D" w14:textId="0EFD4C54" w:rsidR="00D6447F" w:rsidRPr="00DA24A3" w:rsidRDefault="00D6447F" w:rsidP="00CB753C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Disabled</w:t>
            </w:r>
            <w:r w:rsidR="116EEC61" w:rsidRPr="00DA24A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A24A3">
              <w:rPr>
                <w:rFonts w:ascii="Arial" w:hAnsi="Arial" w:cs="Arial"/>
                <w:sz w:val="20"/>
                <w:szCs w:val="20"/>
              </w:rPr>
              <w:t>31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3D845F0" w14:textId="6FA0F67B" w:rsidR="00D6447F" w:rsidRPr="002B6FDE" w:rsidRDefault="00D6447F" w:rsidP="00CB753C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Non-Disabled</w:t>
            </w:r>
            <w:r w:rsidR="52420D10" w:rsidRPr="00DA24A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A24A3">
              <w:rPr>
                <w:rFonts w:ascii="Arial" w:hAnsi="Arial" w:cs="Arial"/>
                <w:sz w:val="20"/>
                <w:szCs w:val="20"/>
              </w:rPr>
              <w:t>23.2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693" w:type="dxa"/>
          </w:tcPr>
          <w:p w14:paraId="135833C4" w14:textId="1D320AE2" w:rsidR="00D6447F" w:rsidRPr="002B6FDE" w:rsidRDefault="00D6447F" w:rsidP="00CB753C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Disabled – 32.3%</w:t>
            </w:r>
          </w:p>
          <w:p w14:paraId="135833C5" w14:textId="77777777" w:rsidR="00D6447F" w:rsidRPr="002B6FDE" w:rsidRDefault="00D6447F" w:rsidP="00CB753C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Non-disabled 22.7%</w:t>
            </w:r>
          </w:p>
        </w:tc>
        <w:tc>
          <w:tcPr>
            <w:tcW w:w="3861" w:type="dxa"/>
          </w:tcPr>
          <w:p w14:paraId="135833C8" w14:textId="57B6645D" w:rsidR="00D6447F" w:rsidRPr="00DA24A3" w:rsidRDefault="00D6447F" w:rsidP="00F80A14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Disabled staff reported feeling more pressure from their managers to come to work compared to non-disabled staff</w:t>
            </w:r>
            <w:r w:rsidR="00020068" w:rsidRPr="00DA24A3">
              <w:rPr>
                <w:rFonts w:ascii="Arial" w:hAnsi="Arial" w:cs="Arial"/>
                <w:sz w:val="20"/>
                <w:szCs w:val="20"/>
              </w:rPr>
              <w:t>, however this score has improved by 1.3% on the previous year</w:t>
            </w:r>
            <w:r w:rsidRPr="00DA24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35833C9" w14:textId="77777777" w:rsidR="00D6447F" w:rsidRPr="00DA24A3" w:rsidRDefault="00D6447F" w:rsidP="00F80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CA" w14:textId="2221327E" w:rsidR="00D6447F" w:rsidRPr="00DA24A3" w:rsidRDefault="00020068" w:rsidP="00F80A14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 xml:space="preserve">The score for non-disabled staff has increased by 0.5% </w:t>
            </w:r>
            <w:r w:rsidR="00DA24A3" w:rsidRPr="00DA24A3">
              <w:rPr>
                <w:rFonts w:ascii="Arial" w:hAnsi="Arial" w:cs="Arial"/>
                <w:sz w:val="20"/>
                <w:szCs w:val="20"/>
              </w:rPr>
              <w:t>compared to</w:t>
            </w:r>
            <w:r w:rsidRPr="00DA24A3">
              <w:rPr>
                <w:rFonts w:ascii="Arial" w:hAnsi="Arial" w:cs="Arial"/>
                <w:sz w:val="20"/>
                <w:szCs w:val="20"/>
              </w:rPr>
              <w:t xml:space="preserve"> last year</w:t>
            </w:r>
            <w:r w:rsidR="00D6447F" w:rsidRPr="00DA24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77" w:type="dxa"/>
          </w:tcPr>
          <w:p w14:paraId="135833CB" w14:textId="77777777" w:rsidR="00D6447F" w:rsidRPr="00A559FB" w:rsidRDefault="00D6447F" w:rsidP="00305172">
            <w:pPr>
              <w:rPr>
                <w:rFonts w:ascii="Arial" w:hAnsi="Arial" w:cs="Arial"/>
                <w:sz w:val="20"/>
                <w:szCs w:val="20"/>
              </w:rPr>
            </w:pPr>
            <w:r w:rsidRPr="00A559FB">
              <w:rPr>
                <w:rFonts w:ascii="Arial" w:hAnsi="Arial" w:cs="Arial"/>
                <w:sz w:val="20"/>
                <w:szCs w:val="20"/>
              </w:rPr>
              <w:t>We launched the 2020 staff health and wellbeing advice and support Hub which is accessible to all staff by phone or in person and email.</w:t>
            </w:r>
          </w:p>
          <w:p w14:paraId="135833CC" w14:textId="77777777" w:rsidR="00D6447F" w:rsidRPr="00A559FB" w:rsidRDefault="00D6447F" w:rsidP="003051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CD" w14:textId="6F874C0E" w:rsidR="00D6447F" w:rsidRPr="00A559FB" w:rsidRDefault="00A559FB" w:rsidP="0030517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A559FB">
              <w:rPr>
                <w:rFonts w:ascii="Arial" w:hAnsi="Arial" w:cs="Arial"/>
                <w:sz w:val="20"/>
                <w:szCs w:val="20"/>
              </w:rPr>
              <w:t>We have a Disability staff network which includes a WhatsApp group where colleagues can connect with one another and provide peer support.</w:t>
            </w:r>
          </w:p>
          <w:p w14:paraId="135833CE" w14:textId="77777777" w:rsidR="00D6447F" w:rsidRPr="00A559FB" w:rsidRDefault="00D6447F" w:rsidP="0030517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0562A0B" w14:textId="77777777" w:rsidR="00A559FB" w:rsidRDefault="00A559FB" w:rsidP="00A55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details </w:t>
            </w:r>
            <w:r w:rsidRPr="008E5FCB">
              <w:rPr>
                <w:rFonts w:ascii="Arial" w:hAnsi="Arial" w:cs="Arial"/>
                <w:sz w:val="20"/>
                <w:szCs w:val="20"/>
              </w:rPr>
              <w:t>refer to the “Equality Diversity and Inclusion: One Year On” report, which was presented to the Trust Board in July 2021.</w:t>
            </w:r>
          </w:p>
          <w:p w14:paraId="135833D2" w14:textId="347DAD32" w:rsidR="00D6447F" w:rsidRPr="00A559FB" w:rsidRDefault="00A559FB" w:rsidP="00A559FB">
            <w:pPr>
              <w:tabs>
                <w:tab w:val="left" w:pos="1335"/>
              </w:tabs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A559F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ab/>
            </w:r>
          </w:p>
        </w:tc>
      </w:tr>
      <w:tr w:rsidR="00D6447F" w:rsidRPr="002B6FDE" w14:paraId="135833E0" w14:textId="77777777" w:rsidTr="5C0F10E0">
        <w:trPr>
          <w:trHeight w:val="128"/>
        </w:trPr>
        <w:tc>
          <w:tcPr>
            <w:tcW w:w="2127" w:type="dxa"/>
          </w:tcPr>
          <w:p w14:paraId="135833D4" w14:textId="77777777" w:rsidR="00D6447F" w:rsidRPr="002B6FDE" w:rsidRDefault="00D6447F" w:rsidP="00E27F42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7. Percentage of Disabled staff compared to non-disabled staff saying that they are satisfied with the extent to which their organisation values their work.</w:t>
            </w:r>
          </w:p>
        </w:tc>
        <w:tc>
          <w:tcPr>
            <w:tcW w:w="2977" w:type="dxa"/>
          </w:tcPr>
          <w:p w14:paraId="02BC1F22" w14:textId="6AA34DF2" w:rsidR="00D6447F" w:rsidRPr="00DA24A3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Disabled – 38</w:t>
            </w:r>
            <w:r w:rsidR="28479813" w:rsidRPr="00DA24A3">
              <w:rPr>
                <w:rFonts w:ascii="Arial" w:hAnsi="Arial" w:cs="Arial"/>
                <w:sz w:val="20"/>
                <w:szCs w:val="20"/>
              </w:rPr>
              <w:t>.0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50513EE" w14:textId="6E9AC311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Non-disabled – 45</w:t>
            </w:r>
            <w:r w:rsidR="00DA24A3">
              <w:rPr>
                <w:rFonts w:ascii="Arial" w:hAnsi="Arial" w:cs="Arial"/>
                <w:sz w:val="20"/>
                <w:szCs w:val="20"/>
              </w:rPr>
              <w:t>.2</w:t>
            </w:r>
            <w:r w:rsidRPr="00DA24A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693" w:type="dxa"/>
          </w:tcPr>
          <w:p w14:paraId="135833D5" w14:textId="0CB69F2C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Disabled 38.5%</w:t>
            </w:r>
          </w:p>
          <w:p w14:paraId="135833D6" w14:textId="77777777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Non-disabled 42.2%</w:t>
            </w:r>
          </w:p>
        </w:tc>
        <w:tc>
          <w:tcPr>
            <w:tcW w:w="3861" w:type="dxa"/>
          </w:tcPr>
          <w:p w14:paraId="79BBB72B" w14:textId="77777777" w:rsidR="00065A35" w:rsidRPr="00DA24A3" w:rsidRDefault="00065A35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Disabled staff report being less likely to feel valued by the Trust than non-disabled staff; the gap between these groups has widened by 3.5% to a gap of 7.2%.</w:t>
            </w:r>
          </w:p>
          <w:p w14:paraId="316EEFAC" w14:textId="77777777" w:rsidR="00065A35" w:rsidRPr="00DA24A3" w:rsidRDefault="00065A35" w:rsidP="00E27F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D9" w14:textId="5B33215E" w:rsidR="00D6447F" w:rsidRPr="00DA24A3" w:rsidRDefault="00065A35" w:rsidP="00065A35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t>Compared to the previous year, the score has dropped by 0.5% for disabled staff, and has increased by 3% for non-disabled staff</w:t>
            </w:r>
            <w:r w:rsidR="00D6447F" w:rsidRPr="00DA24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77" w:type="dxa"/>
          </w:tcPr>
          <w:p w14:paraId="44D10C29" w14:textId="77777777" w:rsidR="00A559FB" w:rsidRPr="00A559FB" w:rsidRDefault="00A559FB" w:rsidP="00A559F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A559FB">
              <w:rPr>
                <w:rFonts w:ascii="Arial" w:hAnsi="Arial" w:cs="Arial"/>
                <w:sz w:val="20"/>
                <w:szCs w:val="20"/>
              </w:rPr>
              <w:t>We have a Disability staff network which includes a WhatsApp group where colleagues can connect with one another and provide peer support.</w:t>
            </w:r>
          </w:p>
          <w:p w14:paraId="22CC6BD2" w14:textId="77777777" w:rsidR="00A559FB" w:rsidRPr="00A559FB" w:rsidRDefault="00A559FB" w:rsidP="00A559F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751127C" w14:textId="77777777" w:rsidR="00A559FB" w:rsidRDefault="00A559FB" w:rsidP="00A55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details </w:t>
            </w:r>
            <w:r w:rsidRPr="008E5FCB">
              <w:rPr>
                <w:rFonts w:ascii="Arial" w:hAnsi="Arial" w:cs="Arial"/>
                <w:sz w:val="20"/>
                <w:szCs w:val="20"/>
              </w:rPr>
              <w:t>refer to the “Equality Diversity and Inclusion: One Year On” report, which was presented to the Trust Board in July 2021.</w:t>
            </w:r>
          </w:p>
          <w:p w14:paraId="135833DF" w14:textId="77777777" w:rsidR="00D6447F" w:rsidRPr="00D6447F" w:rsidRDefault="00D6447F" w:rsidP="00A559F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D6447F" w:rsidRPr="002B6FDE" w14:paraId="135833EC" w14:textId="77777777" w:rsidTr="5C0F10E0">
        <w:trPr>
          <w:trHeight w:val="128"/>
        </w:trPr>
        <w:tc>
          <w:tcPr>
            <w:tcW w:w="2127" w:type="dxa"/>
          </w:tcPr>
          <w:p w14:paraId="135833E1" w14:textId="07ED677D" w:rsidR="00D6447F" w:rsidRPr="002B6FDE" w:rsidRDefault="00D6447F" w:rsidP="00E27F42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8. Percentage of Disabled staff saying </w:t>
            </w: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that their employer has made adequate adjustment(s) to enable them to carry out their work.</w:t>
            </w:r>
          </w:p>
        </w:tc>
        <w:tc>
          <w:tcPr>
            <w:tcW w:w="2977" w:type="dxa"/>
          </w:tcPr>
          <w:p w14:paraId="01494D0B" w14:textId="0655558C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DA24A3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DA24A3" w:rsidRPr="00DA24A3">
              <w:rPr>
                <w:rFonts w:ascii="Arial" w:hAnsi="Arial" w:cs="Arial"/>
                <w:sz w:val="20"/>
                <w:szCs w:val="20"/>
              </w:rPr>
              <w:t>7.7</w:t>
            </w:r>
            <w:r w:rsidRPr="00DA24A3">
              <w:rPr>
                <w:rFonts w:ascii="Arial" w:hAnsi="Arial" w:cs="Arial"/>
                <w:sz w:val="20"/>
                <w:szCs w:val="20"/>
              </w:rPr>
              <w:t>% of</w:t>
            </w:r>
            <w:r w:rsidRPr="13393B15">
              <w:rPr>
                <w:rFonts w:ascii="Arial" w:hAnsi="Arial" w:cs="Arial"/>
                <w:sz w:val="20"/>
                <w:szCs w:val="20"/>
              </w:rPr>
              <w:t xml:space="preserve"> disabled staff said their employer made adequate </w:t>
            </w:r>
            <w:r w:rsidRPr="13393B15">
              <w:rPr>
                <w:rFonts w:ascii="Arial" w:hAnsi="Arial" w:cs="Arial"/>
                <w:sz w:val="20"/>
                <w:szCs w:val="20"/>
              </w:rPr>
              <w:lastRenderedPageBreak/>
              <w:t>adjustments</w:t>
            </w:r>
          </w:p>
        </w:tc>
        <w:tc>
          <w:tcPr>
            <w:tcW w:w="2693" w:type="dxa"/>
          </w:tcPr>
          <w:p w14:paraId="135833E2" w14:textId="75D180DB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lastRenderedPageBreak/>
              <w:t xml:space="preserve">73.3% of disabled staff said their employer made </w:t>
            </w:r>
            <w:r w:rsidRPr="002B6FDE">
              <w:rPr>
                <w:rFonts w:ascii="Arial" w:hAnsi="Arial" w:cs="Arial"/>
                <w:sz w:val="20"/>
                <w:szCs w:val="20"/>
              </w:rPr>
              <w:lastRenderedPageBreak/>
              <w:t>adequate adjustments</w:t>
            </w:r>
          </w:p>
        </w:tc>
        <w:tc>
          <w:tcPr>
            <w:tcW w:w="3861" w:type="dxa"/>
          </w:tcPr>
          <w:p w14:paraId="182710F8" w14:textId="327B9E13" w:rsidR="5ED12128" w:rsidRPr="00065A35" w:rsidRDefault="5ED12128" w:rsidP="13393B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65A35">
              <w:rPr>
                <w:rFonts w:ascii="Arial" w:hAnsi="Arial" w:cs="Arial"/>
                <w:sz w:val="20"/>
                <w:szCs w:val="20"/>
              </w:rPr>
              <w:lastRenderedPageBreak/>
              <w:t xml:space="preserve">4.4% more disabled staff reported their employer making adequate adjustments </w:t>
            </w:r>
            <w:r w:rsidRPr="00065A35">
              <w:rPr>
                <w:rFonts w:ascii="Arial" w:hAnsi="Arial" w:cs="Arial"/>
                <w:sz w:val="20"/>
                <w:szCs w:val="20"/>
              </w:rPr>
              <w:lastRenderedPageBreak/>
              <w:t>for them compared to last year.</w:t>
            </w:r>
          </w:p>
          <w:p w14:paraId="135833E5" w14:textId="77777777" w:rsidR="00D6447F" w:rsidRPr="00D6447F" w:rsidRDefault="00D6447F" w:rsidP="00E27F4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</w:p>
          <w:p w14:paraId="135833E6" w14:textId="77777777" w:rsidR="00D6447F" w:rsidRPr="00D6447F" w:rsidRDefault="00D6447F" w:rsidP="00E27F4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  <w:tc>
          <w:tcPr>
            <w:tcW w:w="4077" w:type="dxa"/>
          </w:tcPr>
          <w:p w14:paraId="373DAC54" w14:textId="77777777" w:rsidR="00A559FB" w:rsidRDefault="00A559FB" w:rsidP="00A559FB">
            <w:pPr>
              <w:rPr>
                <w:rFonts w:ascii="Arial" w:hAnsi="Arial" w:cs="Arial"/>
                <w:sz w:val="20"/>
                <w:szCs w:val="20"/>
              </w:rPr>
            </w:pPr>
            <w:r w:rsidRPr="00A559FB">
              <w:rPr>
                <w:rFonts w:ascii="Arial" w:hAnsi="Arial" w:cs="Arial"/>
                <w:sz w:val="20"/>
                <w:szCs w:val="20"/>
              </w:rPr>
              <w:lastRenderedPageBreak/>
              <w:t xml:space="preserve">The 2020 </w:t>
            </w:r>
            <w:r w:rsidR="00D6447F" w:rsidRPr="00A559FB">
              <w:rPr>
                <w:rFonts w:ascii="Arial" w:hAnsi="Arial" w:cs="Arial"/>
                <w:sz w:val="20"/>
                <w:szCs w:val="20"/>
              </w:rPr>
              <w:t xml:space="preserve">staff health and wellbeing Hub </w:t>
            </w:r>
            <w:r w:rsidRPr="00A559FB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D6447F" w:rsidRPr="00A559FB">
              <w:rPr>
                <w:rFonts w:ascii="Arial" w:hAnsi="Arial" w:cs="Arial"/>
                <w:sz w:val="20"/>
                <w:szCs w:val="20"/>
              </w:rPr>
              <w:t xml:space="preserve">supported colleagues through the </w:t>
            </w:r>
            <w:r w:rsidR="00D6447F" w:rsidRPr="00A559FB">
              <w:rPr>
                <w:rFonts w:ascii="Arial" w:hAnsi="Arial" w:cs="Arial"/>
                <w:sz w:val="20"/>
                <w:szCs w:val="20"/>
              </w:rPr>
              <w:lastRenderedPageBreak/>
              <w:t>coronavirus pandemic</w:t>
            </w:r>
            <w:r w:rsidRPr="00A559F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63679E" w14:textId="77777777" w:rsidR="00A559FB" w:rsidRDefault="00A559FB" w:rsidP="00A559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EB" w14:textId="5408DF17" w:rsidR="00D6447F" w:rsidRPr="00A559FB" w:rsidRDefault="00A559FB" w:rsidP="00A559F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59FB">
              <w:rPr>
                <w:rFonts w:ascii="Arial" w:hAnsi="Arial" w:cs="Arial"/>
                <w:sz w:val="20"/>
                <w:szCs w:val="20"/>
              </w:rPr>
              <w:t xml:space="preserve">We are recruiting an EDI Training Specialist who will design and deliver training programmes to raise awareness around disability and long-term conditions. </w:t>
            </w:r>
          </w:p>
        </w:tc>
      </w:tr>
      <w:tr w:rsidR="00D6447F" w:rsidRPr="002B6FDE" w14:paraId="135833FD" w14:textId="77777777" w:rsidTr="5C0F10E0">
        <w:trPr>
          <w:trHeight w:val="1310"/>
        </w:trPr>
        <w:tc>
          <w:tcPr>
            <w:tcW w:w="2127" w:type="dxa"/>
          </w:tcPr>
          <w:p w14:paraId="135833ED" w14:textId="77777777" w:rsidR="00D6447F" w:rsidRPr="002B6FDE" w:rsidRDefault="00D6447F" w:rsidP="00E27F42">
            <w:pPr>
              <w:pStyle w:val="Pa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9a. The staff engagement score for Disabled staff, compared to non-disabled staff and the overall engagement score for the organisation.  </w:t>
            </w:r>
          </w:p>
        </w:tc>
        <w:tc>
          <w:tcPr>
            <w:tcW w:w="2977" w:type="dxa"/>
          </w:tcPr>
          <w:p w14:paraId="2FA89CBB" w14:textId="6592BA0D" w:rsidR="00D6447F" w:rsidRPr="002B6FDE" w:rsidRDefault="00D6447F" w:rsidP="00DF01FB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Disabled 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2B6FDE">
              <w:rPr>
                <w:rFonts w:ascii="Arial" w:hAnsi="Arial" w:cs="Arial"/>
                <w:sz w:val="20"/>
                <w:szCs w:val="20"/>
              </w:rPr>
              <w:t xml:space="preserve"> 6.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2917750" w14:textId="7FB1A502" w:rsidR="00D6447F" w:rsidRPr="002B6FDE" w:rsidRDefault="00D6447F" w:rsidP="00DF01FB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Non-disabled 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2B6FDE">
              <w:rPr>
                <w:rFonts w:ascii="Arial" w:hAnsi="Arial" w:cs="Arial"/>
                <w:sz w:val="20"/>
                <w:szCs w:val="20"/>
              </w:rPr>
              <w:t xml:space="preserve"> 6.9</w:t>
            </w:r>
          </w:p>
          <w:p w14:paraId="6F1B2FBB" w14:textId="6BEF0CC3" w:rsidR="00D6447F" w:rsidRPr="002B6FDE" w:rsidRDefault="00D6447F" w:rsidP="00DF01FB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Overall Organisation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2B6FDE">
              <w:rPr>
                <w:rFonts w:ascii="Arial" w:hAnsi="Arial" w:cs="Arial"/>
                <w:sz w:val="20"/>
                <w:szCs w:val="20"/>
              </w:rPr>
              <w:t xml:space="preserve"> 6.9</w:t>
            </w:r>
          </w:p>
        </w:tc>
        <w:tc>
          <w:tcPr>
            <w:tcW w:w="2693" w:type="dxa"/>
          </w:tcPr>
          <w:p w14:paraId="135833EE" w14:textId="5C6D7B2C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Disabled staff 6.6</w:t>
            </w:r>
          </w:p>
          <w:p w14:paraId="135833EF" w14:textId="77777777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Non-disabled staff 6.9</w:t>
            </w:r>
          </w:p>
          <w:p w14:paraId="135833F0" w14:textId="77777777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 xml:space="preserve">Overall Organisation 6.9 </w:t>
            </w:r>
          </w:p>
        </w:tc>
        <w:tc>
          <w:tcPr>
            <w:tcW w:w="3861" w:type="dxa"/>
          </w:tcPr>
          <w:p w14:paraId="135833F4" w14:textId="233DD020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 xml:space="preserve">Disabled </w:t>
            </w:r>
            <w:r w:rsidR="00147806">
              <w:rPr>
                <w:rFonts w:ascii="Arial" w:hAnsi="Arial" w:cs="Arial"/>
                <w:sz w:val="20"/>
                <w:szCs w:val="20"/>
              </w:rPr>
              <w:t>colleagues</w:t>
            </w:r>
            <w:r w:rsidRPr="002B6FDE">
              <w:rPr>
                <w:rFonts w:ascii="Arial" w:hAnsi="Arial" w:cs="Arial"/>
                <w:sz w:val="20"/>
                <w:szCs w:val="20"/>
              </w:rPr>
              <w:t xml:space="preserve"> are less engaged than non-disabled staff and the overall organisation. </w:t>
            </w:r>
          </w:p>
          <w:p w14:paraId="135833F5" w14:textId="77777777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3F6" w14:textId="6FBFF88B" w:rsidR="00D6447F" w:rsidRPr="002B6FDE" w:rsidRDefault="00147806" w:rsidP="00147806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the second time in a row, t</w:t>
            </w:r>
            <w:r w:rsidR="00D6447F" w:rsidRPr="002B6FDE">
              <w:rPr>
                <w:rFonts w:ascii="Arial" w:hAnsi="Arial" w:cs="Arial"/>
                <w:sz w:val="20"/>
                <w:szCs w:val="20"/>
              </w:rPr>
              <w:t xml:space="preserve">he engagement score for disabled </w:t>
            </w:r>
            <w:r>
              <w:rPr>
                <w:rFonts w:ascii="Arial" w:hAnsi="Arial" w:cs="Arial"/>
                <w:sz w:val="20"/>
                <w:szCs w:val="20"/>
              </w:rPr>
              <w:t>colleagues</w:t>
            </w:r>
            <w:r w:rsidR="00D6447F" w:rsidRPr="002B6FDE">
              <w:rPr>
                <w:rFonts w:ascii="Arial" w:hAnsi="Arial" w:cs="Arial"/>
                <w:sz w:val="20"/>
                <w:szCs w:val="20"/>
              </w:rPr>
              <w:t xml:space="preserve"> has gone up compared to the previous year, whilst remaining </w:t>
            </w:r>
            <w:r>
              <w:rPr>
                <w:rFonts w:ascii="Arial" w:hAnsi="Arial" w:cs="Arial"/>
                <w:sz w:val="20"/>
                <w:szCs w:val="20"/>
              </w:rPr>
              <w:t>stagnant for non-disabled staff – thereby the gap in reported staff engagement has narrowed to 0.2.</w:t>
            </w:r>
          </w:p>
        </w:tc>
        <w:tc>
          <w:tcPr>
            <w:tcW w:w="4077" w:type="dxa"/>
          </w:tcPr>
          <w:p w14:paraId="56AA31DE" w14:textId="77777777" w:rsidR="00A559FB" w:rsidRPr="00A559FB" w:rsidRDefault="00A559FB" w:rsidP="00A559F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A559FB">
              <w:rPr>
                <w:rFonts w:ascii="Arial" w:hAnsi="Arial" w:cs="Arial"/>
                <w:sz w:val="20"/>
                <w:szCs w:val="20"/>
              </w:rPr>
              <w:t>We have a Disability staff network which includes a WhatsApp group where colleagues can connect with one another and provide peer support.</w:t>
            </w:r>
          </w:p>
          <w:p w14:paraId="5A47F65A" w14:textId="77777777" w:rsidR="00A559FB" w:rsidRPr="00A559FB" w:rsidRDefault="00A559FB" w:rsidP="00A559F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35833FC" w14:textId="6A4CB52A" w:rsidR="00D6447F" w:rsidRPr="00A559FB" w:rsidRDefault="00A559FB" w:rsidP="00E27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details </w:t>
            </w:r>
            <w:r w:rsidRPr="008E5FCB">
              <w:rPr>
                <w:rFonts w:ascii="Arial" w:hAnsi="Arial" w:cs="Arial"/>
                <w:sz w:val="20"/>
                <w:szCs w:val="20"/>
              </w:rPr>
              <w:t>refer to the “Equality Diversity and Inclusion: One Year On” report, which was presented to the Trust Board in July 2021.</w:t>
            </w:r>
          </w:p>
        </w:tc>
      </w:tr>
      <w:tr w:rsidR="00D6447F" w:rsidRPr="002B6FDE" w14:paraId="13583411" w14:textId="77777777" w:rsidTr="5C0F10E0">
        <w:trPr>
          <w:gridAfter w:val="3"/>
          <w:wAfter w:w="10631" w:type="dxa"/>
          <w:trHeight w:val="128"/>
        </w:trPr>
        <w:tc>
          <w:tcPr>
            <w:tcW w:w="2127" w:type="dxa"/>
          </w:tcPr>
          <w:p w14:paraId="135833FE" w14:textId="77777777" w:rsidR="00D6447F" w:rsidRPr="002B6FDE" w:rsidRDefault="00D6447F" w:rsidP="00E27F42">
            <w:pPr>
              <w:pStyle w:val="Pa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9b. Has your Trust taken action to facilitate the voices of Disabled staff in your organisation to be heard? Yes or No </w:t>
            </w:r>
          </w:p>
          <w:p w14:paraId="135833FF" w14:textId="77777777" w:rsidR="00D6447F" w:rsidRPr="002B6FDE" w:rsidRDefault="00D6447F" w:rsidP="00E27F42">
            <w:pPr>
              <w:pStyle w:val="Pa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DCDFD2" w14:textId="478B18AD" w:rsidR="00D6447F" w:rsidRPr="00A559FB" w:rsidRDefault="00A559FB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A559F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6447F" w:rsidRPr="002B6FDE" w14:paraId="13583423" w14:textId="77777777" w:rsidTr="5C0F10E0">
        <w:trPr>
          <w:trHeight w:val="128"/>
        </w:trPr>
        <w:tc>
          <w:tcPr>
            <w:tcW w:w="2127" w:type="dxa"/>
          </w:tcPr>
          <w:p w14:paraId="13583412" w14:textId="77777777" w:rsidR="00D6447F" w:rsidRPr="002B6FDE" w:rsidRDefault="00D6447F" w:rsidP="00E27F42">
            <w:pPr>
              <w:pStyle w:val="Pa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10. Percentage difference between the organisation’s board voting membership and its organisation’s overall workforce, disaggregated:</w:t>
            </w:r>
          </w:p>
          <w:p w14:paraId="13583413" w14:textId="77777777" w:rsidR="00D6447F" w:rsidRPr="002B6FDE" w:rsidRDefault="00D6447F" w:rsidP="00E27F42">
            <w:pPr>
              <w:pStyle w:val="Pa0"/>
              <w:numPr>
                <w:ilvl w:val="0"/>
                <w:numId w:val="12"/>
              </w:numPr>
              <w:ind w:hanging="18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 voting membership of the board</w:t>
            </w:r>
          </w:p>
          <w:p w14:paraId="13583414" w14:textId="77777777" w:rsidR="00D6447F" w:rsidRPr="002B6FDE" w:rsidRDefault="00D6447F" w:rsidP="00E27F42">
            <w:pPr>
              <w:pStyle w:val="Pa0"/>
              <w:numPr>
                <w:ilvl w:val="0"/>
                <w:numId w:val="12"/>
              </w:numPr>
              <w:ind w:hanging="18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6F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 Executive membership of the board</w:t>
            </w:r>
          </w:p>
        </w:tc>
        <w:tc>
          <w:tcPr>
            <w:tcW w:w="2977" w:type="dxa"/>
          </w:tcPr>
          <w:p w14:paraId="717D7FE0" w14:textId="77777777" w:rsidR="00065A35" w:rsidRDefault="00D6447F" w:rsidP="00791953">
            <w:pPr>
              <w:rPr>
                <w:rFonts w:ascii="Arial" w:hAnsi="Arial" w:cs="Arial"/>
                <w:sz w:val="20"/>
                <w:szCs w:val="20"/>
              </w:rPr>
            </w:pPr>
            <w:r w:rsidRPr="13393B15">
              <w:rPr>
                <w:rFonts w:ascii="Arial" w:hAnsi="Arial" w:cs="Arial"/>
                <w:sz w:val="20"/>
                <w:szCs w:val="20"/>
              </w:rPr>
              <w:t>The overall workforce declaring as disabled i</w:t>
            </w:r>
            <w:r w:rsidR="00065A35">
              <w:rPr>
                <w:rFonts w:ascii="Arial" w:hAnsi="Arial" w:cs="Arial"/>
                <w:sz w:val="20"/>
                <w:szCs w:val="20"/>
              </w:rPr>
              <w:t>s 2</w:t>
            </w:r>
            <w:r w:rsidR="1FAE2087" w:rsidRPr="00D3041F">
              <w:rPr>
                <w:rFonts w:ascii="Arial" w:hAnsi="Arial" w:cs="Arial"/>
                <w:sz w:val="20"/>
                <w:szCs w:val="20"/>
              </w:rPr>
              <w:t>.6%</w:t>
            </w:r>
            <w:r w:rsidRPr="00D30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01A006" w14:textId="77777777" w:rsidR="00D3041F" w:rsidRDefault="00D3041F" w:rsidP="007919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BB336" w14:textId="7D27107D" w:rsidR="002124CA" w:rsidRDefault="00D3041F" w:rsidP="00791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5.6% of the Trust</w:t>
            </w:r>
            <w:r w:rsidR="002124CA">
              <w:rPr>
                <w:rFonts w:ascii="Arial" w:hAnsi="Arial" w:cs="Arial"/>
                <w:sz w:val="20"/>
                <w:szCs w:val="20"/>
              </w:rPr>
              <w:t xml:space="preserve"> Board membership </w:t>
            </w:r>
            <w:r>
              <w:rPr>
                <w:rFonts w:ascii="Arial" w:hAnsi="Arial" w:cs="Arial"/>
                <w:sz w:val="20"/>
                <w:szCs w:val="20"/>
              </w:rPr>
              <w:t>has declared a disability; 88.9% of the Board does not have a disability; 5.6% of the Board has an unknown disability status.</w:t>
            </w:r>
          </w:p>
          <w:p w14:paraId="48D71AEC" w14:textId="77777777" w:rsidR="002124CA" w:rsidRDefault="002124CA" w:rsidP="007919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6DEA0" w14:textId="4C44F2F2" w:rsidR="00D6447F" w:rsidRDefault="00D6447F" w:rsidP="00791953">
            <w:pPr>
              <w:rPr>
                <w:rFonts w:ascii="Arial" w:hAnsi="Arial" w:cs="Arial"/>
                <w:sz w:val="20"/>
                <w:szCs w:val="20"/>
              </w:rPr>
            </w:pPr>
            <w:r w:rsidRPr="00D3041F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1339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41F">
              <w:rPr>
                <w:rFonts w:ascii="Arial" w:hAnsi="Arial" w:cs="Arial"/>
                <w:sz w:val="20"/>
                <w:szCs w:val="20"/>
              </w:rPr>
              <w:t>6.3% of the v</w:t>
            </w:r>
            <w:r w:rsidRPr="13393B15">
              <w:rPr>
                <w:rFonts w:ascii="Arial" w:hAnsi="Arial" w:cs="Arial"/>
                <w:sz w:val="20"/>
                <w:szCs w:val="20"/>
              </w:rPr>
              <w:t>oting membership</w:t>
            </w:r>
            <w:r w:rsidR="00D3041F">
              <w:rPr>
                <w:rFonts w:ascii="Arial" w:hAnsi="Arial" w:cs="Arial"/>
                <w:sz w:val="20"/>
                <w:szCs w:val="20"/>
              </w:rPr>
              <w:t xml:space="preserve"> of the Board has declared a disability. This is </w:t>
            </w:r>
            <w:r w:rsidRPr="13393B15">
              <w:rPr>
                <w:rFonts w:ascii="Arial" w:hAnsi="Arial" w:cs="Arial"/>
                <w:sz w:val="20"/>
                <w:szCs w:val="20"/>
              </w:rPr>
              <w:t xml:space="preserve">a total difference of </w:t>
            </w:r>
            <w:r w:rsidR="00D3041F">
              <w:rPr>
                <w:rFonts w:ascii="Arial" w:hAnsi="Arial" w:cs="Arial"/>
                <w:sz w:val="20"/>
                <w:szCs w:val="20"/>
              </w:rPr>
              <w:t>+3.7</w:t>
            </w:r>
            <w:r w:rsidR="002124CA">
              <w:rPr>
                <w:rFonts w:ascii="Arial" w:hAnsi="Arial" w:cs="Arial"/>
                <w:sz w:val="20"/>
                <w:szCs w:val="20"/>
              </w:rPr>
              <w:t>%</w:t>
            </w:r>
            <w:r w:rsidR="00D3041F">
              <w:rPr>
                <w:rFonts w:ascii="Arial" w:hAnsi="Arial" w:cs="Arial"/>
                <w:sz w:val="20"/>
                <w:szCs w:val="20"/>
              </w:rPr>
              <w:t xml:space="preserve"> compared to the overall disabled workforce.</w:t>
            </w:r>
          </w:p>
          <w:p w14:paraId="4C6BAD42" w14:textId="77777777" w:rsidR="00D3041F" w:rsidRPr="002B6FDE" w:rsidRDefault="00D3041F" w:rsidP="007919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461E0" w14:textId="27B02D35" w:rsidR="002124CA" w:rsidRPr="002B6FDE" w:rsidRDefault="00D6447F" w:rsidP="002124CA">
            <w:pPr>
              <w:rPr>
                <w:rFonts w:ascii="Arial" w:hAnsi="Arial" w:cs="Arial"/>
                <w:sz w:val="20"/>
                <w:szCs w:val="20"/>
              </w:rPr>
            </w:pPr>
            <w:r w:rsidRPr="00D3041F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="00D3041F">
              <w:rPr>
                <w:rFonts w:ascii="Arial" w:hAnsi="Arial" w:cs="Arial"/>
                <w:sz w:val="20"/>
                <w:szCs w:val="20"/>
              </w:rPr>
              <w:t xml:space="preserve"> 12.5% of the Executive </w:t>
            </w:r>
            <w:r w:rsidR="00D3041F">
              <w:rPr>
                <w:rFonts w:ascii="Arial" w:hAnsi="Arial" w:cs="Arial"/>
                <w:sz w:val="20"/>
                <w:szCs w:val="20"/>
              </w:rPr>
              <w:lastRenderedPageBreak/>
              <w:t>membership has declared a disability. T</w:t>
            </w:r>
            <w:r w:rsidR="00F57A60">
              <w:rPr>
                <w:rFonts w:ascii="Arial" w:hAnsi="Arial" w:cs="Arial"/>
                <w:sz w:val="20"/>
                <w:szCs w:val="20"/>
              </w:rPr>
              <w:t>his is a total difference of +9.9</w:t>
            </w:r>
            <w:r w:rsidR="00D3041F">
              <w:rPr>
                <w:rFonts w:ascii="Arial" w:hAnsi="Arial" w:cs="Arial"/>
                <w:sz w:val="20"/>
                <w:szCs w:val="20"/>
              </w:rPr>
              <w:t>% compared to the overall disabled workforce.</w:t>
            </w:r>
          </w:p>
        </w:tc>
        <w:tc>
          <w:tcPr>
            <w:tcW w:w="2693" w:type="dxa"/>
          </w:tcPr>
          <w:p w14:paraId="13583415" w14:textId="2848E98C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lastRenderedPageBreak/>
              <w:t xml:space="preserve">The overall workforce declaring as disabled is 2%. </w:t>
            </w:r>
          </w:p>
          <w:p w14:paraId="13583416" w14:textId="77777777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I. Voting memb</w:t>
            </w:r>
            <w:r>
              <w:rPr>
                <w:rFonts w:ascii="Arial" w:hAnsi="Arial" w:cs="Arial"/>
                <w:sz w:val="20"/>
                <w:szCs w:val="20"/>
              </w:rPr>
              <w:t>ership; a total difference of 5</w:t>
            </w:r>
            <w:r w:rsidRPr="002B6FD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3583417" w14:textId="77777777" w:rsidR="00D6447F" w:rsidRPr="002B6FDE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2B6FDE">
              <w:rPr>
                <w:rFonts w:ascii="Arial" w:hAnsi="Arial" w:cs="Arial"/>
                <w:sz w:val="20"/>
                <w:szCs w:val="20"/>
              </w:rPr>
              <w:t>II. Executive memb</w:t>
            </w:r>
            <w:r>
              <w:rPr>
                <w:rFonts w:ascii="Arial" w:hAnsi="Arial" w:cs="Arial"/>
                <w:sz w:val="20"/>
                <w:szCs w:val="20"/>
              </w:rPr>
              <w:t>ership; A total difference of 10</w:t>
            </w:r>
            <w:r w:rsidRPr="002B6F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861" w:type="dxa"/>
          </w:tcPr>
          <w:p w14:paraId="1358341B" w14:textId="77777777" w:rsidR="00D6447F" w:rsidRPr="00D3041F" w:rsidRDefault="00D6447F" w:rsidP="00E27F42">
            <w:pPr>
              <w:rPr>
                <w:rFonts w:ascii="Arial" w:hAnsi="Arial" w:cs="Arial"/>
                <w:sz w:val="20"/>
                <w:szCs w:val="20"/>
              </w:rPr>
            </w:pPr>
            <w:r w:rsidRPr="00D3041F">
              <w:rPr>
                <w:rFonts w:ascii="Arial" w:hAnsi="Arial" w:cs="Arial"/>
                <w:sz w:val="20"/>
                <w:szCs w:val="20"/>
              </w:rPr>
              <w:t>The Board has representation of disabled staff more than proportional to the declared numbers of staff in the organisation who have reported a disability on ESR.</w:t>
            </w:r>
          </w:p>
          <w:p w14:paraId="1358341C" w14:textId="77777777" w:rsidR="00D6447F" w:rsidRPr="00147806" w:rsidRDefault="00D6447F" w:rsidP="00E27F4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077" w:type="dxa"/>
          </w:tcPr>
          <w:p w14:paraId="72663CD9" w14:textId="77777777" w:rsidR="00A559FB" w:rsidRDefault="00A559FB" w:rsidP="00A55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Executives are champions for at least one of the protected characteristics and some of them sit on the Diversity subnetworks for Ethnic Minorities, LGBTQ+ and Disability.</w:t>
            </w:r>
          </w:p>
          <w:p w14:paraId="57394352" w14:textId="77777777" w:rsidR="00A559FB" w:rsidRDefault="00A559FB" w:rsidP="00A559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3422" w14:textId="710A1FF2" w:rsidR="00A559FB" w:rsidRPr="00147806" w:rsidRDefault="00A559FB" w:rsidP="00A559F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Positive action will be taken for future Executive vacancies to attract a broader field of applicants from different backgrounds. </w:t>
            </w:r>
          </w:p>
        </w:tc>
      </w:tr>
    </w:tbl>
    <w:p w14:paraId="13583424" w14:textId="53733D5E" w:rsidR="00ED0AB1" w:rsidRPr="002B6FDE" w:rsidRDefault="00ED0AB1">
      <w:pPr>
        <w:rPr>
          <w:rFonts w:ascii="Arial" w:hAnsi="Arial" w:cs="Arial"/>
          <w:sz w:val="20"/>
          <w:szCs w:val="20"/>
        </w:rPr>
      </w:pPr>
    </w:p>
    <w:sectPr w:rsidR="00ED0AB1" w:rsidRPr="002B6FDE" w:rsidSect="003E62EE">
      <w:pgSz w:w="16838" w:h="11906" w:orient="landscape"/>
      <w:pgMar w:top="568" w:right="1440" w:bottom="993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D19E482" w15:paraIdParent="6AA05E40"/>
  <w15:commentEx w15:done="0" w15:paraId="40E4752A" w15:paraIdParent="4D1C4952"/>
  <w15:commentEx w15:done="0" w15:paraId="4425ABDE" w15:paraIdParent="3CADA279"/>
  <w15:commentEx w15:done="0" w15:paraId="6F716896" w15:paraIdParent="2EF34CD1"/>
  <w15:commentEx w15:done="0" w15:paraId="0AA05244" w15:paraIdParent="342D76E3"/>
  <w15:commentEx w15:done="0" w15:paraId="73429919" w15:paraIdParent="4E623EC3"/>
  <w15:commentEx w15:done="0" w15:paraId="6C4E9D21" w15:paraIdParent="6C20374C"/>
  <w15:commentEx w15:done="0" w15:paraId="337552C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E91830" w16cex:dateUtc="2021-08-02T15:35:03.091Z"/>
  <w16cex:commentExtensible w16cex:durableId="45D44D12" w16cex:dateUtc="2021-08-02T15:35:08.429Z"/>
  <w16cex:commentExtensible w16cex:durableId="5528C350" w16cex:dateUtc="2021-08-02T15:35:35.423Z"/>
  <w16cex:commentExtensible w16cex:durableId="5B57509E" w16cex:dateUtc="2021-08-02T15:35:46.899Z"/>
  <w16cex:commentExtensible w16cex:durableId="51F6F645" w16cex:dateUtc="2021-08-02T15:35:59.64Z"/>
  <w16cex:commentExtensible w16cex:durableId="5BF3A1EF" w16cex:dateUtc="2021-08-02T15:40:45.479Z"/>
  <w16cex:commentExtensible w16cex:durableId="5B083E73" w16cex:dateUtc="2021-08-02T15:41:16.408Z"/>
  <w16cex:commentExtensible w16cex:durableId="373A8618" w16cex:dateUtc="2021-08-02T15:44:03.0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1C4952" w16cid:durableId="754CE7ED"/>
  <w16cid:commentId w16cid:paraId="6AA05E40" w16cid:durableId="2963BC5E"/>
  <w16cid:commentId w16cid:paraId="3CADA279" w16cid:durableId="60919C4E"/>
  <w16cid:commentId w16cid:paraId="2EF34CD1" w16cid:durableId="67822AEE"/>
  <w16cid:commentId w16cid:paraId="342D76E3" w16cid:durableId="22025522"/>
  <w16cid:commentId w16cid:paraId="482F78AF" w16cid:durableId="7B0E3BD5"/>
  <w16cid:commentId w16cid:paraId="4E623EC3" w16cid:durableId="40A93D49"/>
  <w16cid:commentId w16cid:paraId="6C20374C" w16cid:durableId="3A7AB5F5"/>
  <w16cid:commentId w16cid:paraId="3D19E482" w16cid:durableId="4FE91830"/>
  <w16cid:commentId w16cid:paraId="40E4752A" w16cid:durableId="45D44D12"/>
  <w16cid:commentId w16cid:paraId="4425ABDE" w16cid:durableId="5528C350"/>
  <w16cid:commentId w16cid:paraId="6F716896" w16cid:durableId="5B57509E"/>
  <w16cid:commentId w16cid:paraId="0AA05244" w16cid:durableId="51F6F645"/>
  <w16cid:commentId w16cid:paraId="73429919" w16cid:durableId="5BF3A1EF"/>
  <w16cid:commentId w16cid:paraId="6C4E9D21" w16cid:durableId="5B083E73"/>
  <w16cid:commentId w16cid:paraId="337552C1" w16cid:durableId="373A86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Pro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CBF"/>
    <w:multiLevelType w:val="hybridMultilevel"/>
    <w:tmpl w:val="83DAEC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35D9C"/>
    <w:multiLevelType w:val="hybridMultilevel"/>
    <w:tmpl w:val="8AFA0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C317B0"/>
    <w:multiLevelType w:val="hybridMultilevel"/>
    <w:tmpl w:val="BCD85C78"/>
    <w:lvl w:ilvl="0" w:tplc="EC76F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C4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65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84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8D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8D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C1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63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41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AA07C7"/>
    <w:multiLevelType w:val="hybridMultilevel"/>
    <w:tmpl w:val="F7DA120A"/>
    <w:lvl w:ilvl="0" w:tplc="68A279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B28D8A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090013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 w:tplc="E9087D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B26D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D252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51C17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C4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ECAC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32CF6E03"/>
    <w:multiLevelType w:val="hybridMultilevel"/>
    <w:tmpl w:val="6DB4F612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417D5"/>
    <w:multiLevelType w:val="hybridMultilevel"/>
    <w:tmpl w:val="E08CEC78"/>
    <w:lvl w:ilvl="0" w:tplc="6276B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84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8C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CC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27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C6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7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02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A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AD4455"/>
    <w:multiLevelType w:val="hybridMultilevel"/>
    <w:tmpl w:val="35B4BB7E"/>
    <w:lvl w:ilvl="0" w:tplc="5D54E6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4C62D00">
      <w:start w:val="117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9EA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C0BD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C664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7651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4ADC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7ED1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208D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46277D7B"/>
    <w:multiLevelType w:val="hybridMultilevel"/>
    <w:tmpl w:val="E93C5512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AA3BF9"/>
    <w:multiLevelType w:val="hybridMultilevel"/>
    <w:tmpl w:val="F4783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86DA7"/>
    <w:multiLevelType w:val="hybridMultilevel"/>
    <w:tmpl w:val="F6B4DD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520276"/>
    <w:multiLevelType w:val="hybridMultilevel"/>
    <w:tmpl w:val="2130A516"/>
    <w:lvl w:ilvl="0" w:tplc="08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B28D8A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090013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 w:tplc="E9087D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B26D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D252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51C17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C4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ECAC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665E7B37"/>
    <w:multiLevelType w:val="hybridMultilevel"/>
    <w:tmpl w:val="9B5A648E"/>
    <w:lvl w:ilvl="0" w:tplc="314C9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8D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4E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02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8B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67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47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26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9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1F69D3"/>
    <w:multiLevelType w:val="hybridMultilevel"/>
    <w:tmpl w:val="00E480BE"/>
    <w:lvl w:ilvl="0" w:tplc="68A27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8D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405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87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26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25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1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4C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CA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906AD7"/>
    <w:multiLevelType w:val="hybridMultilevel"/>
    <w:tmpl w:val="09E2A350"/>
    <w:lvl w:ilvl="0" w:tplc="E48A1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22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0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80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61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80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6D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EE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EE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F"/>
    <w:rsid w:val="000122BA"/>
    <w:rsid w:val="0001306A"/>
    <w:rsid w:val="000170C1"/>
    <w:rsid w:val="00020068"/>
    <w:rsid w:val="00035200"/>
    <w:rsid w:val="00050BFC"/>
    <w:rsid w:val="00054849"/>
    <w:rsid w:val="00065A35"/>
    <w:rsid w:val="00083B9D"/>
    <w:rsid w:val="000912AA"/>
    <w:rsid w:val="000C03ED"/>
    <w:rsid w:val="000F486D"/>
    <w:rsid w:val="00105C68"/>
    <w:rsid w:val="00130FBD"/>
    <w:rsid w:val="00142A54"/>
    <w:rsid w:val="00147806"/>
    <w:rsid w:val="001609A2"/>
    <w:rsid w:val="00186FE3"/>
    <w:rsid w:val="001C4DFA"/>
    <w:rsid w:val="001E717E"/>
    <w:rsid w:val="00204C76"/>
    <w:rsid w:val="002124CA"/>
    <w:rsid w:val="002149BB"/>
    <w:rsid w:val="00216E7F"/>
    <w:rsid w:val="00232E2B"/>
    <w:rsid w:val="00256116"/>
    <w:rsid w:val="00260CFA"/>
    <w:rsid w:val="002829E8"/>
    <w:rsid w:val="0028410D"/>
    <w:rsid w:val="002B6FDE"/>
    <w:rsid w:val="002C2ED6"/>
    <w:rsid w:val="00305172"/>
    <w:rsid w:val="00334485"/>
    <w:rsid w:val="0033648C"/>
    <w:rsid w:val="00376D62"/>
    <w:rsid w:val="0037739B"/>
    <w:rsid w:val="003796EA"/>
    <w:rsid w:val="003B43DA"/>
    <w:rsid w:val="003D7888"/>
    <w:rsid w:val="003E104F"/>
    <w:rsid w:val="003E62EE"/>
    <w:rsid w:val="00402E1E"/>
    <w:rsid w:val="00422589"/>
    <w:rsid w:val="004335A5"/>
    <w:rsid w:val="004461DC"/>
    <w:rsid w:val="004763F4"/>
    <w:rsid w:val="00492DDE"/>
    <w:rsid w:val="00495096"/>
    <w:rsid w:val="004A0517"/>
    <w:rsid w:val="004B4C5B"/>
    <w:rsid w:val="004B7FFA"/>
    <w:rsid w:val="004E4FDF"/>
    <w:rsid w:val="00505C5F"/>
    <w:rsid w:val="00525FB5"/>
    <w:rsid w:val="00527E5D"/>
    <w:rsid w:val="00562FF6"/>
    <w:rsid w:val="00565A20"/>
    <w:rsid w:val="0059104B"/>
    <w:rsid w:val="005F06DC"/>
    <w:rsid w:val="005F19CA"/>
    <w:rsid w:val="00612596"/>
    <w:rsid w:val="00621583"/>
    <w:rsid w:val="00623489"/>
    <w:rsid w:val="00642F9D"/>
    <w:rsid w:val="006548A9"/>
    <w:rsid w:val="00655911"/>
    <w:rsid w:val="00657B40"/>
    <w:rsid w:val="006A7BED"/>
    <w:rsid w:val="006D194E"/>
    <w:rsid w:val="006D76BA"/>
    <w:rsid w:val="006E159D"/>
    <w:rsid w:val="007405DE"/>
    <w:rsid w:val="00742B8F"/>
    <w:rsid w:val="00775230"/>
    <w:rsid w:val="00784448"/>
    <w:rsid w:val="00791953"/>
    <w:rsid w:val="007A3A4B"/>
    <w:rsid w:val="007A7D26"/>
    <w:rsid w:val="007C305A"/>
    <w:rsid w:val="007D6B9E"/>
    <w:rsid w:val="00802F24"/>
    <w:rsid w:val="008304E0"/>
    <w:rsid w:val="00833489"/>
    <w:rsid w:val="00842EAF"/>
    <w:rsid w:val="0085549C"/>
    <w:rsid w:val="0086310F"/>
    <w:rsid w:val="00871335"/>
    <w:rsid w:val="00872379"/>
    <w:rsid w:val="00887F63"/>
    <w:rsid w:val="00891DB2"/>
    <w:rsid w:val="0089723E"/>
    <w:rsid w:val="008C618E"/>
    <w:rsid w:val="008E5FCB"/>
    <w:rsid w:val="009242C2"/>
    <w:rsid w:val="00932566"/>
    <w:rsid w:val="00936152"/>
    <w:rsid w:val="009C5115"/>
    <w:rsid w:val="009E0019"/>
    <w:rsid w:val="00A05D14"/>
    <w:rsid w:val="00A53FC8"/>
    <w:rsid w:val="00A559FB"/>
    <w:rsid w:val="00AB6EEB"/>
    <w:rsid w:val="00AC4F8B"/>
    <w:rsid w:val="00AD102E"/>
    <w:rsid w:val="00AD11F9"/>
    <w:rsid w:val="00B60385"/>
    <w:rsid w:val="00B74857"/>
    <w:rsid w:val="00B87B7A"/>
    <w:rsid w:val="00B92EB1"/>
    <w:rsid w:val="00BC1125"/>
    <w:rsid w:val="00BD47C7"/>
    <w:rsid w:val="00C10785"/>
    <w:rsid w:val="00C262FA"/>
    <w:rsid w:val="00C26831"/>
    <w:rsid w:val="00C44993"/>
    <w:rsid w:val="00C631E3"/>
    <w:rsid w:val="00C66165"/>
    <w:rsid w:val="00C70B7C"/>
    <w:rsid w:val="00CB293C"/>
    <w:rsid w:val="00CB753C"/>
    <w:rsid w:val="00CC276A"/>
    <w:rsid w:val="00CD5D25"/>
    <w:rsid w:val="00CE062C"/>
    <w:rsid w:val="00D15E14"/>
    <w:rsid w:val="00D236E5"/>
    <w:rsid w:val="00D3041F"/>
    <w:rsid w:val="00D62152"/>
    <w:rsid w:val="00D6447F"/>
    <w:rsid w:val="00D7486F"/>
    <w:rsid w:val="00D84F81"/>
    <w:rsid w:val="00D9537A"/>
    <w:rsid w:val="00DA24A3"/>
    <w:rsid w:val="00DBDA18"/>
    <w:rsid w:val="00DC4610"/>
    <w:rsid w:val="00DF01FB"/>
    <w:rsid w:val="00E07642"/>
    <w:rsid w:val="00E27F42"/>
    <w:rsid w:val="00E41B9E"/>
    <w:rsid w:val="00E472C1"/>
    <w:rsid w:val="00EA0A84"/>
    <w:rsid w:val="00EA396A"/>
    <w:rsid w:val="00EA700E"/>
    <w:rsid w:val="00ED0AB1"/>
    <w:rsid w:val="00F24BCF"/>
    <w:rsid w:val="00F57A60"/>
    <w:rsid w:val="00F64FA1"/>
    <w:rsid w:val="00F76073"/>
    <w:rsid w:val="00F778E7"/>
    <w:rsid w:val="00F80A14"/>
    <w:rsid w:val="00F916EE"/>
    <w:rsid w:val="00FA0154"/>
    <w:rsid w:val="00FC34F4"/>
    <w:rsid w:val="00FD54E0"/>
    <w:rsid w:val="00FE3A5A"/>
    <w:rsid w:val="016AA4AD"/>
    <w:rsid w:val="01AD5236"/>
    <w:rsid w:val="02EDCC87"/>
    <w:rsid w:val="04AD5A23"/>
    <w:rsid w:val="04C57371"/>
    <w:rsid w:val="05D92BDB"/>
    <w:rsid w:val="06E0627D"/>
    <w:rsid w:val="09319484"/>
    <w:rsid w:val="0A507C48"/>
    <w:rsid w:val="0B7FD93E"/>
    <w:rsid w:val="0BA460E8"/>
    <w:rsid w:val="0C0C5423"/>
    <w:rsid w:val="0C391B47"/>
    <w:rsid w:val="0CA00DF4"/>
    <w:rsid w:val="0DA2BC96"/>
    <w:rsid w:val="0F671EB7"/>
    <w:rsid w:val="10527CC0"/>
    <w:rsid w:val="10D8BB09"/>
    <w:rsid w:val="10EBC8E4"/>
    <w:rsid w:val="116EEC61"/>
    <w:rsid w:val="11EEB865"/>
    <w:rsid w:val="123F2E9D"/>
    <w:rsid w:val="13393B15"/>
    <w:rsid w:val="13E34151"/>
    <w:rsid w:val="13EACCA5"/>
    <w:rsid w:val="1411FECF"/>
    <w:rsid w:val="1597E8CE"/>
    <w:rsid w:val="16446084"/>
    <w:rsid w:val="17525F48"/>
    <w:rsid w:val="17E6692B"/>
    <w:rsid w:val="184AC79E"/>
    <w:rsid w:val="18A61E08"/>
    <w:rsid w:val="1989BFD1"/>
    <w:rsid w:val="19CE5BC5"/>
    <w:rsid w:val="1A49D7B5"/>
    <w:rsid w:val="1B736042"/>
    <w:rsid w:val="1D6494EB"/>
    <w:rsid w:val="1FAE2087"/>
    <w:rsid w:val="20E52451"/>
    <w:rsid w:val="2184CA50"/>
    <w:rsid w:val="225659F3"/>
    <w:rsid w:val="234089F8"/>
    <w:rsid w:val="24EC45BA"/>
    <w:rsid w:val="24F0B863"/>
    <w:rsid w:val="24F2B843"/>
    <w:rsid w:val="259CF2E7"/>
    <w:rsid w:val="25B1151F"/>
    <w:rsid w:val="26D940EB"/>
    <w:rsid w:val="274CE580"/>
    <w:rsid w:val="28479813"/>
    <w:rsid w:val="28560D2C"/>
    <w:rsid w:val="2958EE88"/>
    <w:rsid w:val="2C85EDC7"/>
    <w:rsid w:val="2CB38742"/>
    <w:rsid w:val="2CFD6AD6"/>
    <w:rsid w:val="2EFA236D"/>
    <w:rsid w:val="3043CCD2"/>
    <w:rsid w:val="30A05459"/>
    <w:rsid w:val="30C7C80D"/>
    <w:rsid w:val="31090748"/>
    <w:rsid w:val="32264CC4"/>
    <w:rsid w:val="3244C9D7"/>
    <w:rsid w:val="342ABC40"/>
    <w:rsid w:val="35C738E9"/>
    <w:rsid w:val="35D6AD8B"/>
    <w:rsid w:val="36D63C58"/>
    <w:rsid w:val="370B1053"/>
    <w:rsid w:val="37C5B38F"/>
    <w:rsid w:val="38272E19"/>
    <w:rsid w:val="3884930D"/>
    <w:rsid w:val="3942A1AA"/>
    <w:rsid w:val="3A0DDD1A"/>
    <w:rsid w:val="3BC23E60"/>
    <w:rsid w:val="3C408012"/>
    <w:rsid w:val="3CA3FF17"/>
    <w:rsid w:val="3CD8E951"/>
    <w:rsid w:val="43BCACE6"/>
    <w:rsid w:val="44B3E358"/>
    <w:rsid w:val="451C26E8"/>
    <w:rsid w:val="45587D47"/>
    <w:rsid w:val="470C63A2"/>
    <w:rsid w:val="499282C9"/>
    <w:rsid w:val="4C48781D"/>
    <w:rsid w:val="51ED6090"/>
    <w:rsid w:val="52420D10"/>
    <w:rsid w:val="52AE33C9"/>
    <w:rsid w:val="52D3DA2B"/>
    <w:rsid w:val="5345FAA6"/>
    <w:rsid w:val="53B6E042"/>
    <w:rsid w:val="55243709"/>
    <w:rsid w:val="55F74479"/>
    <w:rsid w:val="56D60899"/>
    <w:rsid w:val="56EE9D20"/>
    <w:rsid w:val="57F4E3B0"/>
    <w:rsid w:val="5804784C"/>
    <w:rsid w:val="585BD7CB"/>
    <w:rsid w:val="58C38086"/>
    <w:rsid w:val="5B93788D"/>
    <w:rsid w:val="5BDA0409"/>
    <w:rsid w:val="5C0F10E0"/>
    <w:rsid w:val="5C5135BC"/>
    <w:rsid w:val="5C669F34"/>
    <w:rsid w:val="5C9672D7"/>
    <w:rsid w:val="5E634031"/>
    <w:rsid w:val="5E6B0EB0"/>
    <w:rsid w:val="5ED12128"/>
    <w:rsid w:val="618BEE4E"/>
    <w:rsid w:val="61973D55"/>
    <w:rsid w:val="62678089"/>
    <w:rsid w:val="629C348D"/>
    <w:rsid w:val="6327BEAF"/>
    <w:rsid w:val="63CEC3B8"/>
    <w:rsid w:val="6429AE05"/>
    <w:rsid w:val="66E5DAD9"/>
    <w:rsid w:val="6701951F"/>
    <w:rsid w:val="692592E2"/>
    <w:rsid w:val="69853FD9"/>
    <w:rsid w:val="69A2EEE0"/>
    <w:rsid w:val="6A7BCF22"/>
    <w:rsid w:val="6AA80324"/>
    <w:rsid w:val="6B57965D"/>
    <w:rsid w:val="6C8436ED"/>
    <w:rsid w:val="6CF72878"/>
    <w:rsid w:val="6CFCBCD1"/>
    <w:rsid w:val="6F47DFF4"/>
    <w:rsid w:val="6FA88AF1"/>
    <w:rsid w:val="6FBCA1F8"/>
    <w:rsid w:val="70ACA6BD"/>
    <w:rsid w:val="70B52A48"/>
    <w:rsid w:val="71E54DA6"/>
    <w:rsid w:val="72833B57"/>
    <w:rsid w:val="72F37871"/>
    <w:rsid w:val="739D9E29"/>
    <w:rsid w:val="747BFC14"/>
    <w:rsid w:val="762B1933"/>
    <w:rsid w:val="76CFEC57"/>
    <w:rsid w:val="76D570DE"/>
    <w:rsid w:val="77C6E994"/>
    <w:rsid w:val="77CD1FA2"/>
    <w:rsid w:val="77EBE332"/>
    <w:rsid w:val="792264EB"/>
    <w:rsid w:val="7962B9F5"/>
    <w:rsid w:val="7A723348"/>
    <w:rsid w:val="7B0115A8"/>
    <w:rsid w:val="7B148B85"/>
    <w:rsid w:val="7F5B2FB6"/>
    <w:rsid w:val="7FB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E4FDF"/>
    <w:pPr>
      <w:autoSpaceDE w:val="0"/>
      <w:autoSpaceDN w:val="0"/>
      <w:adjustRightInd w:val="0"/>
      <w:spacing w:after="0" w:line="241" w:lineRule="atLeast"/>
    </w:pPr>
    <w:rPr>
      <w:rFonts w:ascii="Frutiger LT Pro 45 Light" w:hAnsi="Frutiger LT Pro 45 Light"/>
      <w:sz w:val="24"/>
      <w:szCs w:val="24"/>
    </w:rPr>
  </w:style>
  <w:style w:type="character" w:customStyle="1" w:styleId="A7">
    <w:name w:val="A7"/>
    <w:uiPriority w:val="99"/>
    <w:rsid w:val="004E4FDF"/>
    <w:rPr>
      <w:rFonts w:cs="Frutiger LT Pro 45 Light"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4E4FDF"/>
    <w:pPr>
      <w:autoSpaceDE w:val="0"/>
      <w:autoSpaceDN w:val="0"/>
      <w:adjustRightInd w:val="0"/>
      <w:spacing w:after="0" w:line="241" w:lineRule="atLeast"/>
    </w:pPr>
    <w:rPr>
      <w:rFonts w:ascii="Frutiger LT Pro 45 Light" w:hAnsi="Frutiger LT Pro 45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4E4F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27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E4FDF"/>
    <w:pPr>
      <w:autoSpaceDE w:val="0"/>
      <w:autoSpaceDN w:val="0"/>
      <w:adjustRightInd w:val="0"/>
      <w:spacing w:after="0" w:line="241" w:lineRule="atLeast"/>
    </w:pPr>
    <w:rPr>
      <w:rFonts w:ascii="Frutiger LT Pro 45 Light" w:hAnsi="Frutiger LT Pro 45 Light"/>
      <w:sz w:val="24"/>
      <w:szCs w:val="24"/>
    </w:rPr>
  </w:style>
  <w:style w:type="character" w:customStyle="1" w:styleId="A7">
    <w:name w:val="A7"/>
    <w:uiPriority w:val="99"/>
    <w:rsid w:val="004E4FDF"/>
    <w:rPr>
      <w:rFonts w:cs="Frutiger LT Pro 45 Light"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4E4FDF"/>
    <w:pPr>
      <w:autoSpaceDE w:val="0"/>
      <w:autoSpaceDN w:val="0"/>
      <w:adjustRightInd w:val="0"/>
      <w:spacing w:after="0" w:line="241" w:lineRule="atLeast"/>
    </w:pPr>
    <w:rPr>
      <w:rFonts w:ascii="Frutiger LT Pro 45 Light" w:hAnsi="Frutiger LT Pro 45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4E4F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27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11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18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4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7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30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4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3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82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978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89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9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217f2cea54e949cf" Type="http://schemas.microsoft.com/office/2011/relationships/people" Target="people.xml"/><Relationship Id="R11f15be2e1f3406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0fd03733178e4ea1" Type="http://schemas.microsoft.com/office/2011/relationships/commentsExtended" Target="commentsExtended.xml"/><Relationship Id="rId4" Type="http://schemas.microsoft.com/office/2007/relationships/stylesWithEffects" Target="stylesWithEffects.xml"/><Relationship Id="R837d4af29da644d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A05E-8571-42E5-902A-74666F05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FD83FC4</Template>
  <TotalTime>1</TotalTime>
  <Pages>6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Hopewell Abigail</dc:creator>
  <cp:lastModifiedBy>Boston Coral</cp:lastModifiedBy>
  <cp:revision>2</cp:revision>
  <cp:lastPrinted>2021-10-29T14:18:00Z</cp:lastPrinted>
  <dcterms:created xsi:type="dcterms:W3CDTF">2021-11-01T12:55:00Z</dcterms:created>
  <dcterms:modified xsi:type="dcterms:W3CDTF">2021-11-01T12:55:00Z</dcterms:modified>
</cp:coreProperties>
</file>