
<file path=[Content_Types].xml><?xml version="1.0" encoding="utf-8"?>
<Types xmlns="http://schemas.openxmlformats.org/package/2006/content-types">
  <Default Extension="jp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1090C4" w14:textId="77777777" w:rsidR="000E2EAB" w:rsidRPr="0071575A" w:rsidRDefault="000E2EAB" w:rsidP="000E2EAB">
      <w:pPr>
        <w:jc w:val="center"/>
        <w:rPr>
          <w:rFonts w:ascii="Arial" w:hAnsi="Arial" w:cs="Arial"/>
          <w:b/>
          <w:sz w:val="24"/>
          <w:szCs w:val="24"/>
        </w:rPr>
      </w:pPr>
      <w:bookmarkStart w:id="0" w:name="_Hlk125635790"/>
      <w:r w:rsidRPr="0071575A">
        <w:rPr>
          <w:rFonts w:ascii="Arial" w:hAnsi="Arial" w:cs="Arial"/>
          <w:b/>
          <w:sz w:val="24"/>
          <w:szCs w:val="24"/>
        </w:rPr>
        <w:t>GENDER PAY GAP REPORT</w:t>
      </w:r>
    </w:p>
    <w:p w14:paraId="068E73FE" w14:textId="77777777" w:rsidR="000E2EAB" w:rsidRDefault="000E2EAB" w:rsidP="000E2EAB">
      <w:pPr>
        <w:jc w:val="center"/>
        <w:rPr>
          <w:rFonts w:ascii="Arial" w:hAnsi="Arial" w:cs="Arial"/>
          <w:b/>
        </w:rPr>
      </w:pPr>
      <w:r w:rsidRPr="00FB7DE9">
        <w:rPr>
          <w:rFonts w:ascii="Arial" w:hAnsi="Arial" w:cs="Arial"/>
          <w:b/>
        </w:rPr>
        <w:t>February 202</w:t>
      </w:r>
      <w:r>
        <w:rPr>
          <w:rFonts w:ascii="Arial" w:hAnsi="Arial" w:cs="Arial"/>
          <w:b/>
        </w:rPr>
        <w:t>3</w:t>
      </w:r>
    </w:p>
    <w:p w14:paraId="22048103" w14:textId="77777777" w:rsidR="000E2EAB" w:rsidRPr="009123A0" w:rsidRDefault="000E2EAB" w:rsidP="000E2EAB">
      <w:pPr>
        <w:jc w:val="center"/>
        <w:rPr>
          <w:rFonts w:ascii="Arial" w:hAnsi="Arial" w:cs="Arial"/>
        </w:rPr>
      </w:pPr>
      <w:r>
        <w:rPr>
          <w:rFonts w:ascii="Arial" w:hAnsi="Arial" w:cs="Arial"/>
        </w:rPr>
        <w:t>Data reported as at 31 March 2022</w:t>
      </w:r>
      <w:r w:rsidRPr="009123A0">
        <w:rPr>
          <w:rFonts w:ascii="Arial" w:hAnsi="Arial" w:cs="Arial"/>
        </w:rPr>
        <w:t>, unless otherwise indicated</w:t>
      </w:r>
      <w:r>
        <w:rPr>
          <w:rFonts w:ascii="Arial" w:hAnsi="Arial" w:cs="Arial"/>
        </w:rPr>
        <w:t>.</w:t>
      </w:r>
    </w:p>
    <w:p w14:paraId="21D60A3D" w14:textId="77777777" w:rsidR="000E2EAB" w:rsidRPr="009123A0" w:rsidRDefault="000E2EAB" w:rsidP="000E2EAB">
      <w:pPr>
        <w:rPr>
          <w:rFonts w:ascii="Arial" w:hAnsi="Arial" w:cs="Arial"/>
          <w:b/>
        </w:rPr>
      </w:pPr>
    </w:p>
    <w:p w14:paraId="2B5377D7" w14:textId="77777777" w:rsidR="000E2EAB" w:rsidRPr="009123A0" w:rsidRDefault="000E2EAB" w:rsidP="000E2EAB">
      <w:pPr>
        <w:rPr>
          <w:rFonts w:ascii="Arial" w:hAnsi="Arial" w:cs="Arial"/>
          <w:b/>
        </w:rPr>
      </w:pPr>
      <w:r w:rsidRPr="009123A0">
        <w:rPr>
          <w:rFonts w:ascii="Arial" w:hAnsi="Arial" w:cs="Arial"/>
          <w:b/>
        </w:rPr>
        <w:t xml:space="preserve">1. Summary </w:t>
      </w:r>
    </w:p>
    <w:p w14:paraId="3C2936FE" w14:textId="3ECA1851" w:rsidR="000E2EAB" w:rsidRPr="00D33B15" w:rsidRDefault="000E2EAB" w:rsidP="00AA5900">
      <w:pPr>
        <w:jc w:val="both"/>
        <w:rPr>
          <w:rFonts w:ascii="Arial" w:hAnsi="Arial" w:cs="Arial"/>
          <w:b/>
          <w:color w:val="FF0000"/>
        </w:rPr>
      </w:pPr>
      <w:r w:rsidRPr="0097292D">
        <w:rPr>
          <w:rFonts w:ascii="Arial" w:hAnsi="Arial" w:cs="Arial"/>
        </w:rPr>
        <w:t>This is Gloucestershire Hospitals NHS Foundation Trust</w:t>
      </w:r>
      <w:r>
        <w:rPr>
          <w:rFonts w:ascii="Arial" w:hAnsi="Arial" w:cs="Arial"/>
        </w:rPr>
        <w:t>’s</w:t>
      </w:r>
      <w:r w:rsidRPr="0097292D">
        <w:rPr>
          <w:rFonts w:ascii="Arial" w:hAnsi="Arial" w:cs="Arial"/>
        </w:rPr>
        <w:t xml:space="preserve"> (GHFT) </w:t>
      </w:r>
      <w:r>
        <w:rPr>
          <w:rFonts w:ascii="Arial" w:hAnsi="Arial" w:cs="Arial"/>
        </w:rPr>
        <w:t>sixth</w:t>
      </w:r>
      <w:r w:rsidRPr="0097292D">
        <w:rPr>
          <w:rFonts w:ascii="Arial" w:hAnsi="Arial" w:cs="Arial"/>
        </w:rPr>
        <w:t xml:space="preserve"> Gender Pay Gap report. It is based on a snapshot of all GHFT </w:t>
      </w:r>
      <w:r w:rsidR="00F264A0">
        <w:rPr>
          <w:rFonts w:ascii="Arial" w:hAnsi="Arial" w:cs="Arial"/>
        </w:rPr>
        <w:t>staff</w:t>
      </w:r>
      <w:r w:rsidRPr="0097292D">
        <w:rPr>
          <w:rFonts w:ascii="Arial" w:hAnsi="Arial" w:cs="Arial"/>
        </w:rPr>
        <w:t xml:space="preserve"> on 31 March 202</w:t>
      </w:r>
      <w:r>
        <w:rPr>
          <w:rFonts w:ascii="Arial" w:hAnsi="Arial" w:cs="Arial"/>
        </w:rPr>
        <w:t>2</w:t>
      </w:r>
      <w:r w:rsidRPr="0097292D">
        <w:rPr>
          <w:rFonts w:ascii="Arial" w:hAnsi="Arial" w:cs="Arial"/>
        </w:rPr>
        <w:t xml:space="preserve">. On that date, GHFT permanent workforce head count was made up of </w:t>
      </w:r>
      <w:r>
        <w:rPr>
          <w:rFonts w:ascii="Arial" w:hAnsi="Arial" w:cs="Arial"/>
          <w:b/>
        </w:rPr>
        <w:t>7,457</w:t>
      </w:r>
      <w:r w:rsidRPr="007212BE">
        <w:rPr>
          <w:rFonts w:ascii="Arial" w:hAnsi="Arial" w:cs="Arial"/>
          <w:b/>
        </w:rPr>
        <w:t xml:space="preserve"> </w:t>
      </w:r>
      <w:r w:rsidR="00F264A0">
        <w:rPr>
          <w:rFonts w:ascii="Arial" w:hAnsi="Arial" w:cs="Arial"/>
          <w:b/>
        </w:rPr>
        <w:t>staff</w:t>
      </w:r>
      <w:r w:rsidRPr="007212BE">
        <w:rPr>
          <w:rFonts w:ascii="Arial" w:hAnsi="Arial" w:cs="Arial"/>
          <w:b/>
        </w:rPr>
        <w:t xml:space="preserve">; </w:t>
      </w:r>
      <w:r w:rsidRPr="00E04C54">
        <w:rPr>
          <w:rFonts w:ascii="Arial" w:hAnsi="Arial" w:cs="Arial"/>
          <w:bCs/>
        </w:rPr>
        <w:t>(</w:t>
      </w:r>
      <w:r>
        <w:rPr>
          <w:rFonts w:ascii="Arial" w:hAnsi="Arial" w:cs="Arial"/>
          <w:b/>
        </w:rPr>
        <w:t>a</w:t>
      </w:r>
      <w:r w:rsidRPr="00D33B15">
        <w:rPr>
          <w:rFonts w:ascii="Arial" w:hAnsi="Arial" w:cs="Arial"/>
          <w:b/>
        </w:rPr>
        <w:t xml:space="preserve">pprox. </w:t>
      </w:r>
      <w:r>
        <w:rPr>
          <w:rFonts w:ascii="Arial" w:hAnsi="Arial" w:cs="Arial"/>
          <w:b/>
        </w:rPr>
        <w:t>79.2</w:t>
      </w:r>
      <w:r w:rsidRPr="00D33B15">
        <w:rPr>
          <w:rFonts w:ascii="Arial" w:hAnsi="Arial" w:cs="Arial"/>
          <w:b/>
        </w:rPr>
        <w:t>% women</w:t>
      </w:r>
      <w:r w:rsidRPr="00D33B15">
        <w:rPr>
          <w:b/>
        </w:rPr>
        <w:t xml:space="preserve"> </w:t>
      </w:r>
      <w:r w:rsidRPr="00D33B15">
        <w:rPr>
          <w:rFonts w:ascii="Arial" w:hAnsi="Arial" w:cs="Arial"/>
          <w:b/>
        </w:rPr>
        <w:t>and 20</w:t>
      </w:r>
      <w:r>
        <w:rPr>
          <w:rFonts w:ascii="Arial" w:hAnsi="Arial" w:cs="Arial"/>
          <w:b/>
        </w:rPr>
        <w:t>.8</w:t>
      </w:r>
      <w:r w:rsidRPr="00D33B15">
        <w:rPr>
          <w:rFonts w:ascii="Arial" w:hAnsi="Arial" w:cs="Arial"/>
          <w:b/>
        </w:rPr>
        <w:t>%</w:t>
      </w:r>
      <w:r w:rsidRPr="00D33B15">
        <w:rPr>
          <w:b/>
        </w:rPr>
        <w:t xml:space="preserve"> </w:t>
      </w:r>
      <w:r w:rsidRPr="00D33B15">
        <w:rPr>
          <w:rFonts w:ascii="Arial" w:hAnsi="Arial" w:cs="Arial"/>
          <w:b/>
        </w:rPr>
        <w:t>men).</w:t>
      </w:r>
    </w:p>
    <w:p w14:paraId="142F777B" w14:textId="77777777" w:rsidR="000E2EAB" w:rsidRPr="00467FF7" w:rsidRDefault="000E2EAB" w:rsidP="00AA5900">
      <w:pPr>
        <w:jc w:val="both"/>
        <w:rPr>
          <w:rFonts w:ascii="Arial" w:hAnsi="Arial" w:cs="Arial"/>
        </w:rPr>
      </w:pPr>
      <w:r w:rsidRPr="00467FF7">
        <w:rPr>
          <w:rFonts w:ascii="Arial" w:hAnsi="Arial" w:cs="Arial"/>
        </w:rPr>
        <w:t xml:space="preserve">The analysis used to prepare this Report identifies a ‘mean’ and a ‘median’ gender pay gap </w:t>
      </w:r>
    </w:p>
    <w:p w14:paraId="7C076EEA" w14:textId="77777777" w:rsidR="000E2EAB" w:rsidRPr="00467FF7" w:rsidRDefault="000E2EAB" w:rsidP="00AA5900">
      <w:pPr>
        <w:jc w:val="both"/>
        <w:rPr>
          <w:rFonts w:ascii="Arial" w:hAnsi="Arial" w:cs="Arial"/>
          <w:b/>
        </w:rPr>
      </w:pPr>
      <w:r w:rsidRPr="00467FF7">
        <w:rPr>
          <w:rFonts w:ascii="Arial" w:hAnsi="Arial" w:cs="Arial"/>
          <w:b/>
        </w:rPr>
        <w:t xml:space="preserve">The measured position on the gender pay gap at 31 March 2022 is as follows: - </w:t>
      </w:r>
    </w:p>
    <w:p w14:paraId="443700EB" w14:textId="77777777" w:rsidR="000E2EAB" w:rsidRPr="00467FF7" w:rsidRDefault="000E2EAB" w:rsidP="00AA5900">
      <w:pPr>
        <w:pStyle w:val="ListParagraph"/>
        <w:widowControl/>
        <w:numPr>
          <w:ilvl w:val="0"/>
          <w:numId w:val="16"/>
        </w:numPr>
        <w:jc w:val="both"/>
        <w:rPr>
          <w:rFonts w:ascii="Arial" w:hAnsi="Arial" w:cs="Arial"/>
          <w:b/>
        </w:rPr>
      </w:pPr>
      <w:r w:rsidRPr="00467FF7">
        <w:rPr>
          <w:rFonts w:ascii="Arial" w:hAnsi="Arial" w:cs="Arial"/>
          <w:b/>
        </w:rPr>
        <w:t>The mean gender pay gap is the difference between mean pay for men and women in the organisation. In GHFT, the mean pay for men is 28.2% higher than for women 28.5% in 2021 (a decrease of 0.3%)</w:t>
      </w:r>
    </w:p>
    <w:p w14:paraId="0D2AFF3B" w14:textId="77777777" w:rsidR="000E2EAB" w:rsidRPr="00467FF7" w:rsidRDefault="000E2EAB" w:rsidP="00AA5900">
      <w:pPr>
        <w:pStyle w:val="ListParagraph"/>
        <w:widowControl/>
        <w:numPr>
          <w:ilvl w:val="0"/>
          <w:numId w:val="16"/>
        </w:numPr>
        <w:jc w:val="both"/>
        <w:rPr>
          <w:rFonts w:ascii="Arial" w:hAnsi="Arial" w:cs="Arial"/>
          <w:b/>
        </w:rPr>
      </w:pPr>
      <w:r w:rsidRPr="00467FF7">
        <w:rPr>
          <w:rFonts w:ascii="Arial" w:hAnsi="Arial" w:cs="Arial"/>
          <w:b/>
        </w:rPr>
        <w:t>The median gender pay gap is the difference between median for men and women in the organisation. In GHFT, the median pay for men is 21.7% higher than for women 23.4% in 2021 (a decrease of 1.7%)</w:t>
      </w:r>
    </w:p>
    <w:p w14:paraId="458E3554" w14:textId="60695CE9" w:rsidR="000E2EAB" w:rsidRDefault="000E2EAB" w:rsidP="000E2EAB">
      <w:pPr>
        <w:jc w:val="both"/>
        <w:rPr>
          <w:rFonts w:ascii="Arial" w:hAnsi="Arial" w:cs="Arial"/>
        </w:rPr>
      </w:pPr>
      <w:r w:rsidRPr="00014C2E">
        <w:rPr>
          <w:rFonts w:ascii="Arial" w:hAnsi="Arial" w:cs="Arial"/>
        </w:rPr>
        <w:t xml:space="preserve">It is critical to </w:t>
      </w:r>
      <w:r w:rsidR="00076311" w:rsidRPr="00014C2E">
        <w:rPr>
          <w:rFonts w:ascii="Arial" w:hAnsi="Arial" w:cs="Arial"/>
        </w:rPr>
        <w:t>emphasi</w:t>
      </w:r>
      <w:r w:rsidR="00076311">
        <w:rPr>
          <w:rFonts w:ascii="Arial" w:hAnsi="Arial" w:cs="Arial"/>
        </w:rPr>
        <w:t>se</w:t>
      </w:r>
      <w:r w:rsidRPr="00014C2E">
        <w:rPr>
          <w:rFonts w:ascii="Arial" w:hAnsi="Arial" w:cs="Arial"/>
        </w:rPr>
        <w:t xml:space="preserve"> this does not mean that a male and a female </w:t>
      </w:r>
      <w:r w:rsidR="0071575A">
        <w:rPr>
          <w:rFonts w:ascii="Arial" w:hAnsi="Arial" w:cs="Arial"/>
        </w:rPr>
        <w:t>employee</w:t>
      </w:r>
      <w:r w:rsidRPr="00014C2E">
        <w:rPr>
          <w:rFonts w:ascii="Arial" w:hAnsi="Arial" w:cs="Arial"/>
        </w:rPr>
        <w:t xml:space="preserve"> member doing equal work receive different levels of pay. Rather, the above statistics are driven largely by </w:t>
      </w:r>
    </w:p>
    <w:p w14:paraId="53F85919" w14:textId="2DF61F02" w:rsidR="0071575A" w:rsidRDefault="0071575A" w:rsidP="0071575A">
      <w:pPr>
        <w:pStyle w:val="ListParagraph"/>
        <w:widowControl/>
        <w:numPr>
          <w:ilvl w:val="0"/>
          <w:numId w:val="20"/>
        </w:numPr>
        <w:jc w:val="both"/>
        <w:rPr>
          <w:rFonts w:ascii="Arial" w:hAnsi="Arial" w:cs="Arial"/>
        </w:rPr>
      </w:pPr>
      <w:r>
        <w:rPr>
          <w:rFonts w:ascii="Arial" w:hAnsi="Arial" w:cs="Arial"/>
        </w:rPr>
        <w:t>The</w:t>
      </w:r>
      <w:r w:rsidR="000E2EAB" w:rsidRPr="003D41C2">
        <w:rPr>
          <w:rFonts w:ascii="Arial" w:hAnsi="Arial" w:cs="Arial"/>
        </w:rPr>
        <w:t xml:space="preserve"> pay of the medical workforce which has an amplified effect on statistics relating to the total workforce and </w:t>
      </w:r>
    </w:p>
    <w:p w14:paraId="5D6D90FD" w14:textId="0437157F" w:rsidR="000E2EAB" w:rsidRPr="0071575A" w:rsidRDefault="0071575A" w:rsidP="0071575A">
      <w:pPr>
        <w:pStyle w:val="ListParagraph"/>
        <w:widowControl/>
        <w:numPr>
          <w:ilvl w:val="0"/>
          <w:numId w:val="20"/>
        </w:numPr>
        <w:jc w:val="both"/>
        <w:rPr>
          <w:rFonts w:ascii="Arial" w:hAnsi="Arial" w:cs="Arial"/>
        </w:rPr>
      </w:pPr>
      <w:r>
        <w:rPr>
          <w:rFonts w:ascii="Arial" w:hAnsi="Arial" w:cs="Arial"/>
        </w:rPr>
        <w:t>The</w:t>
      </w:r>
      <w:r w:rsidR="000E2EAB" w:rsidRPr="0071575A">
        <w:rPr>
          <w:rFonts w:ascii="Arial" w:hAnsi="Arial" w:cs="Arial"/>
        </w:rPr>
        <w:t xml:space="preserve"> distribution of males and females within different parts of the workforce.</w:t>
      </w:r>
    </w:p>
    <w:p w14:paraId="4F602D39" w14:textId="4362A9AB" w:rsidR="000E2EAB" w:rsidRPr="00AD5EE0" w:rsidRDefault="000E2EAB" w:rsidP="000E2EAB">
      <w:pPr>
        <w:jc w:val="both"/>
        <w:rPr>
          <w:rFonts w:ascii="Arial" w:hAnsi="Arial" w:cs="Arial"/>
        </w:rPr>
      </w:pPr>
      <w:r w:rsidRPr="00467FF7">
        <w:rPr>
          <w:rFonts w:ascii="Arial" w:hAnsi="Arial" w:cs="Arial"/>
        </w:rPr>
        <w:t>The dominant theme is that if the medical workforce and their C</w:t>
      </w:r>
      <w:r w:rsidR="009C358B">
        <w:rPr>
          <w:rFonts w:ascii="Arial" w:hAnsi="Arial" w:cs="Arial"/>
        </w:rPr>
        <w:t xml:space="preserve">linical Excellence </w:t>
      </w:r>
      <w:r w:rsidRPr="00467FF7">
        <w:rPr>
          <w:rFonts w:ascii="Arial" w:hAnsi="Arial" w:cs="Arial"/>
        </w:rPr>
        <w:t>A</w:t>
      </w:r>
      <w:r w:rsidR="009C358B">
        <w:rPr>
          <w:rFonts w:ascii="Arial" w:hAnsi="Arial" w:cs="Arial"/>
        </w:rPr>
        <w:t>ward (CEA)</w:t>
      </w:r>
      <w:r w:rsidRPr="00467FF7">
        <w:rPr>
          <w:rFonts w:ascii="Arial" w:hAnsi="Arial" w:cs="Arial"/>
        </w:rPr>
        <w:t xml:space="preserve"> are excluded, the median gender pay gap is nullified. Analysing pay across all </w:t>
      </w:r>
      <w:r w:rsidR="00F264A0">
        <w:rPr>
          <w:rFonts w:ascii="Arial" w:hAnsi="Arial" w:cs="Arial"/>
        </w:rPr>
        <w:t>staff</w:t>
      </w:r>
      <w:r w:rsidRPr="00467FF7">
        <w:rPr>
          <w:rFonts w:ascii="Arial" w:hAnsi="Arial" w:cs="Arial"/>
        </w:rPr>
        <w:t xml:space="preserve"> except medical </w:t>
      </w:r>
      <w:r w:rsidR="00F264A0">
        <w:rPr>
          <w:rFonts w:ascii="Arial" w:hAnsi="Arial" w:cs="Arial"/>
        </w:rPr>
        <w:t>staff</w:t>
      </w:r>
      <w:r w:rsidRPr="00467FF7">
        <w:rPr>
          <w:rFonts w:ascii="Arial" w:hAnsi="Arial" w:cs="Arial"/>
        </w:rPr>
        <w:t xml:space="preserve"> creates a mean gender pay gap of 4.1% in favour of males, but a median gap of -2%. The clear implication is that the pay gap across the medical workforce is sufficient to nullify the female zero gender pay gap across the remainder of the Trust’s workforce, and generate the overall results set out in the bullet points above.</w:t>
      </w:r>
      <w:r w:rsidRPr="00AD5EE0">
        <w:rPr>
          <w:rFonts w:ascii="Arial" w:hAnsi="Arial" w:cs="Arial"/>
        </w:rPr>
        <w:t xml:space="preserve"> </w:t>
      </w:r>
    </w:p>
    <w:p w14:paraId="37B3D274" w14:textId="77777777" w:rsidR="000E2EAB" w:rsidRPr="009123A0" w:rsidRDefault="000E2EAB" w:rsidP="000E2EAB">
      <w:pPr>
        <w:rPr>
          <w:rFonts w:ascii="Arial" w:hAnsi="Arial" w:cs="Arial"/>
          <w:b/>
        </w:rPr>
      </w:pPr>
      <w:r w:rsidRPr="009123A0">
        <w:rPr>
          <w:rFonts w:ascii="Arial" w:hAnsi="Arial" w:cs="Arial"/>
          <w:b/>
        </w:rPr>
        <w:t xml:space="preserve">2. Introduction </w:t>
      </w:r>
    </w:p>
    <w:p w14:paraId="089D7174" w14:textId="320E0040" w:rsidR="000E2EAB" w:rsidRPr="009123A0" w:rsidRDefault="000E2EAB" w:rsidP="000E2EAB">
      <w:pPr>
        <w:jc w:val="both"/>
        <w:rPr>
          <w:rFonts w:ascii="Arial" w:hAnsi="Arial" w:cs="Arial"/>
        </w:rPr>
      </w:pPr>
      <w:r w:rsidRPr="009123A0">
        <w:rPr>
          <w:rFonts w:ascii="Arial" w:hAnsi="Arial" w:cs="Arial"/>
        </w:rPr>
        <w:t>The Equality Act 2010 (Specific Duties and Public Authorities) Regulations 2017 (</w:t>
      </w:r>
      <w:r w:rsidRPr="009123A0">
        <w:rPr>
          <w:rFonts w:ascii="Arial" w:hAnsi="Arial" w:cs="Arial"/>
          <w:b/>
          <w:i/>
          <w:iCs/>
        </w:rPr>
        <w:t>the Regulations</w:t>
      </w:r>
      <w:r w:rsidRPr="009123A0">
        <w:rPr>
          <w:rFonts w:ascii="Arial" w:hAnsi="Arial" w:cs="Arial"/>
        </w:rPr>
        <w:t xml:space="preserve">) require public sector organisations with over 250 </w:t>
      </w:r>
      <w:r w:rsidR="00F264A0">
        <w:rPr>
          <w:rFonts w:ascii="Arial" w:hAnsi="Arial" w:cs="Arial"/>
        </w:rPr>
        <w:t>staff</w:t>
      </w:r>
      <w:r w:rsidRPr="009123A0">
        <w:rPr>
          <w:rFonts w:ascii="Arial" w:hAnsi="Arial" w:cs="Arial"/>
        </w:rPr>
        <w:t xml:space="preserve"> to report on and publish their gender pay gap on a yearly basis. This is based on a snapshot from 31st March of each year, and each organisation is duty bound to publish information on their website. This report captures data as at 31st March 20</w:t>
      </w:r>
      <w:r>
        <w:rPr>
          <w:rFonts w:ascii="Arial" w:hAnsi="Arial" w:cs="Arial"/>
        </w:rPr>
        <w:t>22</w:t>
      </w:r>
      <w:r w:rsidRPr="009123A0">
        <w:rPr>
          <w:rFonts w:ascii="Arial" w:hAnsi="Arial" w:cs="Arial"/>
        </w:rPr>
        <w:t>.</w:t>
      </w:r>
    </w:p>
    <w:p w14:paraId="1B16234B" w14:textId="77777777" w:rsidR="000E2EAB" w:rsidRDefault="000E2EAB" w:rsidP="000E2EAB">
      <w:pPr>
        <w:jc w:val="both"/>
        <w:rPr>
          <w:rFonts w:ascii="Arial" w:hAnsi="Arial" w:cs="Arial"/>
        </w:rPr>
      </w:pPr>
    </w:p>
    <w:p w14:paraId="3C2019F2" w14:textId="3693415D" w:rsidR="000E2EAB" w:rsidRPr="009123A0" w:rsidRDefault="0071575A" w:rsidP="000E2EAB">
      <w:pPr>
        <w:jc w:val="both"/>
        <w:rPr>
          <w:rFonts w:ascii="Arial" w:hAnsi="Arial" w:cs="Arial"/>
        </w:rPr>
      </w:pPr>
      <w:r>
        <w:rPr>
          <w:rFonts w:ascii="Arial" w:hAnsi="Arial" w:cs="Arial"/>
        </w:rPr>
        <w:lastRenderedPageBreak/>
        <w:t>GHFT</w:t>
      </w:r>
      <w:r w:rsidR="000E2EAB" w:rsidRPr="009123A0">
        <w:rPr>
          <w:rFonts w:ascii="Arial" w:hAnsi="Arial" w:cs="Arial"/>
        </w:rPr>
        <w:t xml:space="preserve"> employs circa. </w:t>
      </w:r>
      <w:r w:rsidR="000E2EAB">
        <w:rPr>
          <w:rFonts w:ascii="Arial" w:hAnsi="Arial" w:cs="Arial"/>
          <w:b/>
          <w:bCs/>
        </w:rPr>
        <w:t>7,457</w:t>
      </w:r>
      <w:r w:rsidR="000E2EAB" w:rsidRPr="009123A0">
        <w:rPr>
          <w:rFonts w:ascii="Arial" w:hAnsi="Arial" w:cs="Arial"/>
        </w:rPr>
        <w:t xml:space="preserve"> </w:t>
      </w:r>
      <w:r w:rsidR="00F264A0">
        <w:rPr>
          <w:rFonts w:ascii="Arial" w:hAnsi="Arial" w:cs="Arial"/>
        </w:rPr>
        <w:t>staff</w:t>
      </w:r>
      <w:r w:rsidR="000E2EAB" w:rsidRPr="009123A0">
        <w:rPr>
          <w:rFonts w:ascii="Arial" w:hAnsi="Arial" w:cs="Arial"/>
        </w:rPr>
        <w:t xml:space="preserve"> in a number of Staff Groups, including: administrative; nursing; allied health; and medical roles. All staff except for medical and Very Senior Managers (VSMs) are on Agenda for Change pay-scales, which provide a clear process of paying </w:t>
      </w:r>
      <w:r w:rsidR="00F264A0">
        <w:rPr>
          <w:rFonts w:ascii="Arial" w:hAnsi="Arial" w:cs="Arial"/>
        </w:rPr>
        <w:t>staff</w:t>
      </w:r>
      <w:r w:rsidR="000E2EAB" w:rsidRPr="009123A0">
        <w:rPr>
          <w:rFonts w:ascii="Arial" w:hAnsi="Arial" w:cs="Arial"/>
        </w:rPr>
        <w:t xml:space="preserve"> equally, irrespective of their gender or ethnicity. </w:t>
      </w:r>
    </w:p>
    <w:p w14:paraId="36902A83" w14:textId="77777777" w:rsidR="000E2EAB" w:rsidRDefault="000E2EAB" w:rsidP="000E2EAB">
      <w:pPr>
        <w:rPr>
          <w:rFonts w:ascii="Arial" w:hAnsi="Arial" w:cs="Arial"/>
          <w:b/>
        </w:rPr>
      </w:pPr>
    </w:p>
    <w:p w14:paraId="53BBB603" w14:textId="77777777" w:rsidR="000E2EAB" w:rsidRPr="009123A0" w:rsidRDefault="000E2EAB" w:rsidP="000E2EAB">
      <w:pPr>
        <w:rPr>
          <w:rFonts w:ascii="Arial" w:hAnsi="Arial" w:cs="Arial"/>
          <w:b/>
        </w:rPr>
      </w:pPr>
      <w:r w:rsidRPr="009123A0">
        <w:rPr>
          <w:rFonts w:ascii="Arial" w:hAnsi="Arial" w:cs="Arial"/>
          <w:b/>
        </w:rPr>
        <w:t xml:space="preserve">What is the gender pay gap? </w:t>
      </w:r>
    </w:p>
    <w:p w14:paraId="6342636F" w14:textId="77777777" w:rsidR="000E2EAB" w:rsidRPr="0097292D" w:rsidRDefault="000E2EAB" w:rsidP="000E2EAB">
      <w:pPr>
        <w:autoSpaceDE w:val="0"/>
        <w:autoSpaceDN w:val="0"/>
        <w:adjustRightInd w:val="0"/>
        <w:spacing w:after="0" w:line="240" w:lineRule="auto"/>
        <w:jc w:val="both"/>
        <w:rPr>
          <w:rFonts w:ascii="Arial" w:hAnsi="Arial" w:cs="Arial"/>
        </w:rPr>
      </w:pPr>
      <w:r w:rsidRPr="0097292D">
        <w:rPr>
          <w:rFonts w:ascii="Arial" w:hAnsi="Arial" w:cs="Arial"/>
        </w:rPr>
        <w:t xml:space="preserve">The gender pay gap shows the difference in the average pay between all males and females in the Trust. If there is a particularly high gender pay gap, it can indicate there may be several issues with which to deal, and the individual calculations may help to identify what those issues are. </w:t>
      </w:r>
    </w:p>
    <w:p w14:paraId="04ED8B12" w14:textId="77777777" w:rsidR="000E2EAB" w:rsidRDefault="000E2EAB" w:rsidP="000E2EAB">
      <w:pPr>
        <w:jc w:val="both"/>
        <w:rPr>
          <w:rFonts w:ascii="Arial" w:hAnsi="Arial" w:cs="Arial"/>
        </w:rPr>
      </w:pPr>
      <w:r w:rsidRPr="0097292D">
        <w:rPr>
          <w:rFonts w:ascii="Arial" w:hAnsi="Arial" w:cs="Arial"/>
        </w:rPr>
        <w:t>The gender pay gap is different to equal pay. Equal pay deals with pay difference between males and females who carry out the same jobs, similar jobs or work of equal value. It is unlawful to pay people unequally because they are male or female.</w:t>
      </w:r>
    </w:p>
    <w:p w14:paraId="27FCDAAD" w14:textId="77777777" w:rsidR="000E2EAB" w:rsidRPr="009123A0" w:rsidRDefault="000E2EAB" w:rsidP="000E2EAB">
      <w:pPr>
        <w:rPr>
          <w:rFonts w:ascii="Arial" w:hAnsi="Arial" w:cs="Arial"/>
          <w:b/>
        </w:rPr>
      </w:pPr>
      <w:r w:rsidRPr="009123A0">
        <w:rPr>
          <w:rFonts w:ascii="Arial" w:hAnsi="Arial" w:cs="Arial"/>
          <w:b/>
        </w:rPr>
        <w:t xml:space="preserve">What do we have to report on? </w:t>
      </w:r>
    </w:p>
    <w:p w14:paraId="2A5DEDF9" w14:textId="77777777" w:rsidR="000E2EAB" w:rsidRPr="009123A0" w:rsidRDefault="000E2EAB" w:rsidP="000E2EAB">
      <w:pPr>
        <w:rPr>
          <w:rFonts w:ascii="Arial" w:hAnsi="Arial" w:cs="Arial"/>
        </w:rPr>
      </w:pPr>
      <w:r w:rsidRPr="009123A0">
        <w:rPr>
          <w:rFonts w:ascii="Arial" w:hAnsi="Arial" w:cs="Arial"/>
        </w:rPr>
        <w:t xml:space="preserve">The statutory requirements of the Gender Pay Gap legislation is that each public sector organisation must calculate the following: </w:t>
      </w:r>
    </w:p>
    <w:p w14:paraId="707F3C1A"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mean basic pay gender pay gap </w:t>
      </w:r>
    </w:p>
    <w:p w14:paraId="5C3198B2"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median basic pay gender pay gap </w:t>
      </w:r>
    </w:p>
    <w:p w14:paraId="75BBCA30"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proportion of males and females in each quartile pay band </w:t>
      </w:r>
    </w:p>
    <w:p w14:paraId="4048985C"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mean bonus gender pay gap </w:t>
      </w:r>
    </w:p>
    <w:p w14:paraId="3C09E441"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 xml:space="preserve">The median bonus gender pay gap </w:t>
      </w:r>
    </w:p>
    <w:p w14:paraId="62865B7E" w14:textId="77777777" w:rsidR="000E2EAB" w:rsidRPr="009123A0" w:rsidRDefault="000E2EAB" w:rsidP="000E2EAB">
      <w:pPr>
        <w:pStyle w:val="ListParagraph"/>
        <w:widowControl/>
        <w:numPr>
          <w:ilvl w:val="0"/>
          <w:numId w:val="17"/>
        </w:numPr>
        <w:rPr>
          <w:rFonts w:ascii="Arial" w:hAnsi="Arial" w:cs="Arial"/>
        </w:rPr>
      </w:pPr>
      <w:r w:rsidRPr="009123A0">
        <w:rPr>
          <w:rFonts w:ascii="Arial" w:hAnsi="Arial" w:cs="Arial"/>
        </w:rPr>
        <w:t>The proportion of both males and females receiving a bonus payment</w:t>
      </w:r>
    </w:p>
    <w:p w14:paraId="5770CE5C" w14:textId="77777777" w:rsidR="000E2EAB" w:rsidRPr="009123A0" w:rsidRDefault="000E2EAB" w:rsidP="000E2EAB">
      <w:pPr>
        <w:rPr>
          <w:rFonts w:ascii="Arial" w:hAnsi="Arial" w:cs="Arial"/>
          <w:b/>
        </w:rPr>
      </w:pPr>
      <w:r w:rsidRPr="009123A0">
        <w:rPr>
          <w:rFonts w:ascii="Arial" w:hAnsi="Arial" w:cs="Arial"/>
          <w:b/>
        </w:rPr>
        <w:t xml:space="preserve">Definitions of pay gap </w:t>
      </w:r>
    </w:p>
    <w:p w14:paraId="1DA9743E" w14:textId="4F08C4BA" w:rsidR="000E2EAB" w:rsidRPr="009123A0" w:rsidRDefault="000E2EAB" w:rsidP="000E2EAB">
      <w:pPr>
        <w:jc w:val="both"/>
        <w:rPr>
          <w:rFonts w:ascii="Arial" w:hAnsi="Arial" w:cs="Arial"/>
        </w:rPr>
      </w:pPr>
      <w:r w:rsidRPr="009123A0">
        <w:rPr>
          <w:rFonts w:ascii="Arial" w:hAnsi="Arial" w:cs="Arial"/>
        </w:rPr>
        <w:t xml:space="preserve">The </w:t>
      </w:r>
      <w:r w:rsidRPr="009123A0">
        <w:rPr>
          <w:rFonts w:ascii="Arial" w:hAnsi="Arial" w:cs="Arial"/>
          <w:b/>
        </w:rPr>
        <w:t>mean pay gap</w:t>
      </w:r>
      <w:r w:rsidRPr="009123A0">
        <w:rPr>
          <w:rFonts w:ascii="Arial" w:hAnsi="Arial" w:cs="Arial"/>
        </w:rPr>
        <w:t xml:space="preserve"> is the difference between the pay of all male and all female </w:t>
      </w:r>
      <w:r w:rsidR="00F264A0" w:rsidRPr="00F264A0">
        <w:rPr>
          <w:rFonts w:ascii="Arial" w:hAnsi="Arial" w:cs="Arial"/>
          <w:bCs/>
        </w:rPr>
        <w:t>Staff</w:t>
      </w:r>
      <w:r w:rsidRPr="009123A0">
        <w:rPr>
          <w:rFonts w:ascii="Arial" w:hAnsi="Arial" w:cs="Arial"/>
        </w:rPr>
        <w:t xml:space="preserve"> when added up separately and divided respectively by the total number of males, and the total number of females in the workforce. </w:t>
      </w:r>
    </w:p>
    <w:p w14:paraId="08DD39AE" w14:textId="24F6D2F1" w:rsidR="000E2EAB" w:rsidRPr="009123A0" w:rsidRDefault="000E2EAB" w:rsidP="000E2EAB">
      <w:pPr>
        <w:jc w:val="both"/>
        <w:rPr>
          <w:rFonts w:ascii="Arial" w:hAnsi="Arial" w:cs="Arial"/>
        </w:rPr>
      </w:pPr>
      <w:r w:rsidRPr="009123A0">
        <w:rPr>
          <w:rFonts w:ascii="Arial" w:hAnsi="Arial" w:cs="Arial"/>
        </w:rPr>
        <w:t xml:space="preserve">The </w:t>
      </w:r>
      <w:r w:rsidRPr="009123A0">
        <w:rPr>
          <w:rFonts w:ascii="Arial" w:hAnsi="Arial" w:cs="Arial"/>
          <w:b/>
        </w:rPr>
        <w:t>median pay gap</w:t>
      </w:r>
      <w:r w:rsidRPr="009123A0">
        <w:rPr>
          <w:rFonts w:ascii="Arial" w:hAnsi="Arial" w:cs="Arial"/>
        </w:rPr>
        <w:t xml:space="preserve"> is the difference between the pay of the middle male and the middle female, when all male</w:t>
      </w:r>
      <w:r w:rsidR="00F264A0" w:rsidRPr="00F264A0">
        <w:rPr>
          <w:rFonts w:ascii="Arial" w:hAnsi="Arial" w:cs="Arial"/>
          <w:bCs/>
        </w:rPr>
        <w:t xml:space="preserve"> Staff</w:t>
      </w:r>
      <w:r w:rsidR="00F264A0" w:rsidRPr="009123A0">
        <w:rPr>
          <w:rFonts w:ascii="Arial" w:hAnsi="Arial" w:cs="Arial"/>
        </w:rPr>
        <w:t xml:space="preserve"> </w:t>
      </w:r>
      <w:r w:rsidRPr="009123A0">
        <w:rPr>
          <w:rFonts w:ascii="Arial" w:hAnsi="Arial" w:cs="Arial"/>
        </w:rPr>
        <w:t xml:space="preserve">and then all female </w:t>
      </w:r>
      <w:r w:rsidR="00F264A0" w:rsidRPr="00F264A0">
        <w:rPr>
          <w:rFonts w:ascii="Arial" w:hAnsi="Arial" w:cs="Arial"/>
          <w:bCs/>
        </w:rPr>
        <w:t>Staff</w:t>
      </w:r>
      <w:r w:rsidRPr="009123A0">
        <w:rPr>
          <w:rFonts w:ascii="Arial" w:hAnsi="Arial" w:cs="Arial"/>
        </w:rPr>
        <w:t xml:space="preserve"> are listed from the highest to the lowest paid. </w:t>
      </w:r>
    </w:p>
    <w:p w14:paraId="29FA82CE" w14:textId="77777777" w:rsidR="000E2EAB" w:rsidRPr="009123A0" w:rsidRDefault="000E2EAB" w:rsidP="000E2EAB">
      <w:pPr>
        <w:jc w:val="both"/>
        <w:rPr>
          <w:rFonts w:ascii="Arial" w:hAnsi="Arial" w:cs="Arial"/>
          <w:b/>
        </w:rPr>
      </w:pPr>
      <w:r w:rsidRPr="009123A0">
        <w:rPr>
          <w:rFonts w:ascii="Arial" w:hAnsi="Arial" w:cs="Arial"/>
          <w:b/>
        </w:rPr>
        <w:t xml:space="preserve">Who is included? </w:t>
      </w:r>
    </w:p>
    <w:p w14:paraId="0A78F454" w14:textId="3AB2A711" w:rsidR="000E2EAB" w:rsidRPr="00AD5EE0" w:rsidRDefault="000E2EAB" w:rsidP="000E2EAB">
      <w:pPr>
        <w:jc w:val="both"/>
        <w:rPr>
          <w:rFonts w:ascii="Arial" w:hAnsi="Arial" w:cs="Arial"/>
        </w:rPr>
      </w:pPr>
      <w:r w:rsidRPr="00AD5EE0">
        <w:rPr>
          <w:rFonts w:ascii="Arial" w:hAnsi="Arial" w:cs="Arial"/>
        </w:rPr>
        <w:t>All staff who were employed by GHFT and on full pay on the snapshot date (31st March 202</w:t>
      </w:r>
      <w:r>
        <w:rPr>
          <w:rFonts w:ascii="Arial" w:hAnsi="Arial" w:cs="Arial"/>
        </w:rPr>
        <w:t>2</w:t>
      </w:r>
      <w:r w:rsidRPr="00AD5EE0">
        <w:rPr>
          <w:rFonts w:ascii="Arial" w:hAnsi="Arial" w:cs="Arial"/>
        </w:rPr>
        <w:t xml:space="preserve">) are included. Bank staff who worked a shift on that date are also included. </w:t>
      </w:r>
      <w:r w:rsidR="00F264A0">
        <w:rPr>
          <w:rFonts w:ascii="Arial" w:hAnsi="Arial" w:cs="Arial"/>
        </w:rPr>
        <w:t>Staff</w:t>
      </w:r>
      <w:r w:rsidRPr="00AD5EE0">
        <w:rPr>
          <w:rFonts w:ascii="Arial" w:hAnsi="Arial" w:cs="Arial"/>
        </w:rPr>
        <w:t xml:space="preserve"> who are on half or nil absence, less than full pay maternity leave and agency staff are not included. </w:t>
      </w:r>
    </w:p>
    <w:p w14:paraId="757345C9" w14:textId="77777777" w:rsidR="000E2EAB" w:rsidRDefault="000E2EAB" w:rsidP="000E2EAB">
      <w:pPr>
        <w:rPr>
          <w:rFonts w:ascii="Arial" w:hAnsi="Arial" w:cs="Arial"/>
          <w:b/>
        </w:rPr>
      </w:pPr>
      <w:bookmarkStart w:id="1" w:name="_Hlk125635857"/>
      <w:bookmarkEnd w:id="0"/>
    </w:p>
    <w:p w14:paraId="181498E8" w14:textId="77777777" w:rsidR="00B03A30" w:rsidRDefault="00B03A30" w:rsidP="000E2EAB">
      <w:pPr>
        <w:rPr>
          <w:rFonts w:ascii="Arial" w:hAnsi="Arial" w:cs="Arial"/>
          <w:b/>
        </w:rPr>
      </w:pPr>
    </w:p>
    <w:p w14:paraId="0B757727" w14:textId="77777777" w:rsidR="00B03A30" w:rsidRDefault="00B03A30" w:rsidP="000E2EAB">
      <w:pPr>
        <w:rPr>
          <w:rFonts w:ascii="Arial" w:hAnsi="Arial" w:cs="Arial"/>
          <w:b/>
        </w:rPr>
      </w:pPr>
    </w:p>
    <w:p w14:paraId="32883A64" w14:textId="77777777" w:rsidR="00B03A30" w:rsidRDefault="00B03A30" w:rsidP="000E2EAB">
      <w:pPr>
        <w:rPr>
          <w:rFonts w:ascii="Arial" w:hAnsi="Arial" w:cs="Arial"/>
          <w:b/>
        </w:rPr>
      </w:pPr>
    </w:p>
    <w:p w14:paraId="78EB6B2E" w14:textId="3468C632" w:rsidR="000E2EAB" w:rsidRPr="009123A0" w:rsidRDefault="000E2EAB" w:rsidP="000E2EAB">
      <w:pPr>
        <w:rPr>
          <w:rFonts w:ascii="Arial" w:hAnsi="Arial" w:cs="Arial"/>
          <w:b/>
        </w:rPr>
      </w:pPr>
      <w:r w:rsidRPr="009123A0">
        <w:rPr>
          <w:rFonts w:ascii="Arial" w:hAnsi="Arial" w:cs="Arial"/>
          <w:b/>
        </w:rPr>
        <w:lastRenderedPageBreak/>
        <w:t xml:space="preserve">3. </w:t>
      </w:r>
      <w:r w:rsidRPr="0071575A">
        <w:rPr>
          <w:rFonts w:ascii="Arial" w:hAnsi="Arial" w:cs="Arial"/>
          <w:b/>
          <w:sz w:val="24"/>
          <w:szCs w:val="24"/>
        </w:rPr>
        <w:t>Results for Gloucestershire Hospitals NHS Foundation Trust</w:t>
      </w:r>
      <w:r w:rsidRPr="009123A0">
        <w:rPr>
          <w:rFonts w:ascii="Arial" w:hAnsi="Arial" w:cs="Arial"/>
          <w:b/>
        </w:rPr>
        <w:t xml:space="preserve"> </w:t>
      </w:r>
    </w:p>
    <w:p w14:paraId="7A7BAE68" w14:textId="77777777" w:rsidR="000E2EAB" w:rsidRPr="009123A0" w:rsidRDefault="000E2EAB" w:rsidP="000E2EAB">
      <w:pPr>
        <w:rPr>
          <w:rFonts w:ascii="Arial" w:hAnsi="Arial" w:cs="Arial"/>
          <w:b/>
        </w:rPr>
      </w:pPr>
      <w:r w:rsidRPr="009123A0">
        <w:rPr>
          <w:rFonts w:ascii="Arial" w:hAnsi="Arial" w:cs="Arial"/>
          <w:b/>
        </w:rPr>
        <w:t xml:space="preserve">Trust Gender Profile (based on headcount) </w:t>
      </w:r>
    </w:p>
    <w:p w14:paraId="75DEBECB" w14:textId="5114340F" w:rsidR="000E2EAB" w:rsidRDefault="000E2EAB" w:rsidP="000E2EAB">
      <w:pPr>
        <w:jc w:val="both"/>
        <w:rPr>
          <w:rFonts w:ascii="Arial" w:hAnsi="Arial" w:cs="Arial"/>
          <w:b/>
        </w:rPr>
      </w:pPr>
      <w:r w:rsidRPr="00AD5EE0">
        <w:rPr>
          <w:rFonts w:ascii="Arial" w:hAnsi="Arial" w:cs="Arial"/>
        </w:rPr>
        <w:t>GHFT</w:t>
      </w:r>
      <w:r>
        <w:rPr>
          <w:rFonts w:ascii="Arial" w:hAnsi="Arial" w:cs="Arial"/>
        </w:rPr>
        <w:t>,</w:t>
      </w:r>
      <w:r w:rsidRPr="00AD5EE0">
        <w:rPr>
          <w:rFonts w:ascii="Arial" w:hAnsi="Arial" w:cs="Arial"/>
        </w:rPr>
        <w:t xml:space="preserve"> as is typical of the NHS, has a higher proportion of females to males in its workforce – of the </w:t>
      </w:r>
      <w:r>
        <w:rPr>
          <w:rFonts w:ascii="Arial" w:hAnsi="Arial" w:cs="Arial"/>
          <w:b/>
          <w:bCs/>
        </w:rPr>
        <w:t>7,457</w:t>
      </w:r>
      <w:r w:rsidRPr="00AD5EE0">
        <w:rPr>
          <w:rFonts w:ascii="Arial" w:hAnsi="Arial" w:cs="Arial"/>
        </w:rPr>
        <w:t xml:space="preserve"> </w:t>
      </w:r>
      <w:r w:rsidR="00F264A0">
        <w:rPr>
          <w:rFonts w:ascii="Arial" w:hAnsi="Arial" w:cs="Arial"/>
        </w:rPr>
        <w:t>staff</w:t>
      </w:r>
      <w:r w:rsidRPr="00AD5EE0">
        <w:rPr>
          <w:rFonts w:ascii="Arial" w:hAnsi="Arial" w:cs="Arial"/>
        </w:rPr>
        <w:t xml:space="preserve"> counted as part of the gender pay gap reporting</w:t>
      </w:r>
      <w:r w:rsidRPr="0097292D">
        <w:rPr>
          <w:rFonts w:ascii="Arial" w:hAnsi="Arial" w:cs="Arial"/>
          <w:b/>
        </w:rPr>
        <w:t xml:space="preserve">, </w:t>
      </w:r>
      <w:r>
        <w:rPr>
          <w:rFonts w:ascii="Arial" w:hAnsi="Arial" w:cs="Arial"/>
          <w:b/>
        </w:rPr>
        <w:t>5,906</w:t>
      </w:r>
      <w:r w:rsidRPr="0097292D">
        <w:rPr>
          <w:rFonts w:ascii="Arial" w:hAnsi="Arial" w:cs="Arial"/>
          <w:b/>
        </w:rPr>
        <w:t xml:space="preserve"> female</w:t>
      </w:r>
      <w:r w:rsidRPr="00F264A0">
        <w:rPr>
          <w:rFonts w:ascii="Arial" w:hAnsi="Arial" w:cs="Arial"/>
          <w:b/>
        </w:rPr>
        <w:t xml:space="preserve"> </w:t>
      </w:r>
      <w:r w:rsidR="00F264A0" w:rsidRPr="00F264A0">
        <w:rPr>
          <w:rFonts w:ascii="Arial" w:hAnsi="Arial" w:cs="Arial"/>
          <w:b/>
        </w:rPr>
        <w:t>Staff</w:t>
      </w:r>
      <w:r w:rsidRPr="0097292D">
        <w:rPr>
          <w:rFonts w:ascii="Arial" w:hAnsi="Arial" w:cs="Arial"/>
          <w:b/>
        </w:rPr>
        <w:t xml:space="preserve"> compared to </w:t>
      </w:r>
      <w:r>
        <w:rPr>
          <w:rFonts w:ascii="Arial" w:hAnsi="Arial" w:cs="Arial"/>
          <w:b/>
        </w:rPr>
        <w:t>1,551</w:t>
      </w:r>
      <w:r w:rsidRPr="0097292D">
        <w:rPr>
          <w:rFonts w:ascii="Arial" w:hAnsi="Arial" w:cs="Arial"/>
          <w:b/>
        </w:rPr>
        <w:t xml:space="preserve"> male</w:t>
      </w:r>
      <w:r>
        <w:rPr>
          <w:rFonts w:ascii="Arial" w:hAnsi="Arial" w:cs="Arial"/>
          <w:b/>
        </w:rPr>
        <w:t xml:space="preserve"> </w:t>
      </w:r>
      <w:r w:rsidR="00F264A0">
        <w:rPr>
          <w:rFonts w:ascii="Arial" w:hAnsi="Arial" w:cs="Arial"/>
          <w:b/>
        </w:rPr>
        <w:t>staff</w:t>
      </w:r>
      <w:r>
        <w:rPr>
          <w:rFonts w:ascii="Arial" w:hAnsi="Arial" w:cs="Arial"/>
          <w:b/>
        </w:rPr>
        <w:t>.</w:t>
      </w:r>
    </w:p>
    <w:bookmarkEnd w:id="1"/>
    <w:p w14:paraId="7D4A6B0D" w14:textId="77777777" w:rsidR="000E2EAB" w:rsidRDefault="000E2EAB" w:rsidP="000E2EAB">
      <w:r>
        <w:rPr>
          <w:noProof/>
          <w:lang w:eastAsia="en-GB"/>
        </w:rPr>
        <w:drawing>
          <wp:inline distT="0" distB="0" distL="0" distR="0" wp14:anchorId="2D765A65" wp14:editId="0870FA1B">
            <wp:extent cx="5610225" cy="2216150"/>
            <wp:effectExtent l="0" t="0" r="9525" b="127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AF9D4EC" w14:textId="77777777" w:rsidR="000E2EAB" w:rsidRDefault="000E2EAB" w:rsidP="000E2EAB">
      <w:pPr>
        <w:rPr>
          <w:rFonts w:ascii="Arial" w:hAnsi="Arial" w:cs="Arial"/>
          <w:b/>
          <w:bCs/>
          <w:sz w:val="24"/>
          <w:szCs w:val="24"/>
        </w:rPr>
      </w:pPr>
      <w:bookmarkStart w:id="2" w:name="_Hlk125635921"/>
    </w:p>
    <w:p w14:paraId="4D6A3DAC" w14:textId="21DCE038" w:rsidR="000E2EAB" w:rsidRPr="00062933" w:rsidRDefault="000E2EAB" w:rsidP="000E2EAB">
      <w:pPr>
        <w:jc w:val="center"/>
        <w:rPr>
          <w:rFonts w:ascii="Arial" w:hAnsi="Arial" w:cs="Arial"/>
          <w:b/>
          <w:bCs/>
          <w:sz w:val="24"/>
          <w:szCs w:val="24"/>
        </w:rPr>
      </w:pPr>
      <w:r w:rsidRPr="00062933">
        <w:rPr>
          <w:rFonts w:ascii="Arial" w:hAnsi="Arial" w:cs="Arial"/>
          <w:b/>
          <w:bCs/>
          <w:sz w:val="24"/>
          <w:szCs w:val="24"/>
        </w:rPr>
        <w:t xml:space="preserve">Gender Pay Gap GHFT </w:t>
      </w:r>
      <w:r w:rsidRPr="00062933">
        <w:rPr>
          <w:rFonts w:ascii="Arial" w:hAnsi="Arial" w:cs="Arial"/>
          <w:b/>
          <w:bCs/>
          <w:sz w:val="24"/>
          <w:szCs w:val="24"/>
          <w:u w:val="single"/>
        </w:rPr>
        <w:t>Including</w:t>
      </w:r>
      <w:r w:rsidRPr="00062933">
        <w:rPr>
          <w:rFonts w:ascii="Arial" w:hAnsi="Arial" w:cs="Arial"/>
          <w:b/>
          <w:bCs/>
          <w:sz w:val="24"/>
          <w:szCs w:val="24"/>
        </w:rPr>
        <w:t xml:space="preserve"> Medical </w:t>
      </w:r>
      <w:r w:rsidR="00F264A0">
        <w:rPr>
          <w:rFonts w:ascii="Arial" w:hAnsi="Arial" w:cs="Arial"/>
          <w:b/>
          <w:bCs/>
          <w:sz w:val="24"/>
          <w:szCs w:val="24"/>
        </w:rPr>
        <w:t>Staff</w:t>
      </w:r>
    </w:p>
    <w:bookmarkEnd w:id="2"/>
    <w:p w14:paraId="7FCCC473" w14:textId="77777777" w:rsidR="000E2EAB" w:rsidRDefault="000E2EAB" w:rsidP="000E2EAB">
      <w:r>
        <w:rPr>
          <w:noProof/>
        </w:rPr>
        <w:drawing>
          <wp:inline distT="0" distB="0" distL="0" distR="0" wp14:anchorId="52467DC5" wp14:editId="7553CF25">
            <wp:extent cx="2846168" cy="2672764"/>
            <wp:effectExtent l="0" t="0" r="11430" b="13335"/>
            <wp:docPr id="3" name="Chart 3">
              <a:extLst xmlns:a="http://schemas.openxmlformats.org/drawingml/2006/main">
                <a:ext uri="{FF2B5EF4-FFF2-40B4-BE49-F238E27FC236}">
                  <a16:creationId xmlns:a16="http://schemas.microsoft.com/office/drawing/2014/main" id="{F1065F28-16F0-4B66-A8EB-4438335B40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Pr>
          <w:noProof/>
        </w:rPr>
        <w:drawing>
          <wp:inline distT="0" distB="0" distL="0" distR="0" wp14:anchorId="2B3EC3D1" wp14:editId="76238780">
            <wp:extent cx="2762250" cy="2676525"/>
            <wp:effectExtent l="0" t="0" r="0" b="9525"/>
            <wp:docPr id="4" name="Chart 4">
              <a:extLst xmlns:a="http://schemas.openxmlformats.org/drawingml/2006/main">
                <a:ext uri="{FF2B5EF4-FFF2-40B4-BE49-F238E27FC236}">
                  <a16:creationId xmlns:a16="http://schemas.microsoft.com/office/drawing/2014/main" id="{A0B505A1-9B64-430D-8DFA-20AD154B7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bl>
      <w:tblPr>
        <w:tblStyle w:val="TableGrid"/>
        <w:tblW w:w="0" w:type="auto"/>
        <w:tblLook w:val="04A0" w:firstRow="1" w:lastRow="0" w:firstColumn="1" w:lastColumn="0" w:noHBand="0" w:noVBand="1"/>
      </w:tblPr>
      <w:tblGrid>
        <w:gridCol w:w="4511"/>
        <w:gridCol w:w="3853"/>
      </w:tblGrid>
      <w:tr w:rsidR="000E2EAB" w:rsidRPr="009123A0" w14:paraId="36D7AB3D" w14:textId="77777777" w:rsidTr="005E75B1">
        <w:tc>
          <w:tcPr>
            <w:tcW w:w="4511" w:type="dxa"/>
            <w:tcBorders>
              <w:top w:val="nil"/>
              <w:left w:val="nil"/>
              <w:bottom w:val="nil"/>
              <w:right w:val="nil"/>
            </w:tcBorders>
          </w:tcPr>
          <w:p w14:paraId="324D033A" w14:textId="17383D12" w:rsidR="00AA5900" w:rsidRPr="009123A0" w:rsidRDefault="000E2EAB" w:rsidP="00AA5900">
            <w:pPr>
              <w:rPr>
                <w:rFonts w:ascii="Arial" w:hAnsi="Arial" w:cs="Arial"/>
                <w:b/>
              </w:rPr>
            </w:pPr>
            <w:bookmarkStart w:id="3" w:name="_Hlk125636001"/>
            <w:r w:rsidRPr="009123A0">
              <w:rPr>
                <w:rFonts w:ascii="Arial" w:hAnsi="Arial" w:cs="Arial"/>
                <w:b/>
              </w:rPr>
              <w:t xml:space="preserve">Mean gender pay gap – </w:t>
            </w:r>
            <w:r>
              <w:rPr>
                <w:rFonts w:ascii="Arial" w:hAnsi="Arial" w:cs="Arial"/>
                <w:b/>
              </w:rPr>
              <w:t>28.2</w:t>
            </w:r>
            <w:r w:rsidRPr="009123A0">
              <w:rPr>
                <w:rFonts w:ascii="Arial" w:hAnsi="Arial" w:cs="Arial"/>
                <w:b/>
              </w:rPr>
              <w:t>%</w:t>
            </w:r>
          </w:p>
        </w:tc>
        <w:tc>
          <w:tcPr>
            <w:tcW w:w="3853" w:type="dxa"/>
            <w:tcBorders>
              <w:top w:val="nil"/>
              <w:left w:val="nil"/>
              <w:bottom w:val="nil"/>
              <w:right w:val="nil"/>
            </w:tcBorders>
          </w:tcPr>
          <w:p w14:paraId="4F8184FD" w14:textId="77777777" w:rsidR="000E2EAB" w:rsidRPr="009123A0" w:rsidRDefault="000E2EAB" w:rsidP="00D630DF">
            <w:pPr>
              <w:rPr>
                <w:rFonts w:ascii="Arial" w:hAnsi="Arial" w:cs="Arial"/>
                <w:b/>
              </w:rPr>
            </w:pPr>
            <w:r w:rsidRPr="009123A0">
              <w:rPr>
                <w:rFonts w:ascii="Arial" w:hAnsi="Arial" w:cs="Arial"/>
                <w:b/>
              </w:rPr>
              <w:t xml:space="preserve">Median gender pay gap </w:t>
            </w:r>
            <w:r>
              <w:rPr>
                <w:rFonts w:ascii="Arial" w:hAnsi="Arial" w:cs="Arial"/>
                <w:b/>
              </w:rPr>
              <w:t>21.7</w:t>
            </w:r>
            <w:r w:rsidRPr="009123A0">
              <w:rPr>
                <w:rFonts w:ascii="Arial" w:hAnsi="Arial" w:cs="Arial"/>
                <w:b/>
              </w:rPr>
              <w:t xml:space="preserve"> %</w:t>
            </w:r>
          </w:p>
        </w:tc>
      </w:tr>
    </w:tbl>
    <w:p w14:paraId="7EC9305C" w14:textId="69F2AD4B" w:rsidR="00AA5900" w:rsidRDefault="00AA5900" w:rsidP="000E2EAB">
      <w:pPr>
        <w:jc w:val="both"/>
        <w:rPr>
          <w:rFonts w:ascii="Arial" w:hAnsi="Arial" w:cs="Arial"/>
        </w:rPr>
      </w:pPr>
      <w:bookmarkStart w:id="4" w:name="_Hlk125636135"/>
      <w:bookmarkEnd w:id="3"/>
      <w:r>
        <w:rPr>
          <w:noProof/>
        </w:rPr>
        <w:lastRenderedPageBreak/>
        <w:drawing>
          <wp:inline distT="0" distB="0" distL="0" distR="0" wp14:anchorId="1DEEF3AF" wp14:editId="35D10B83">
            <wp:extent cx="5667375" cy="2466975"/>
            <wp:effectExtent l="0" t="0" r="9525" b="9525"/>
            <wp:docPr id="5" name="Chart 5">
              <a:extLst xmlns:a="http://schemas.openxmlformats.org/drawingml/2006/main">
                <a:ext uri="{FF2B5EF4-FFF2-40B4-BE49-F238E27FC236}">
                  <a16:creationId xmlns:a16="http://schemas.microsoft.com/office/drawing/2014/main" id="{B6492882-3B7D-4088-BF71-9119769830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02D7EE3" w14:textId="3D0B8A66" w:rsidR="000E2EAB" w:rsidRPr="00467FF7" w:rsidRDefault="000E2EAB" w:rsidP="000E2EAB">
      <w:pPr>
        <w:jc w:val="both"/>
        <w:rPr>
          <w:rFonts w:ascii="Arial" w:hAnsi="Arial" w:cs="Arial"/>
        </w:rPr>
      </w:pPr>
      <w:r w:rsidRPr="00467FF7">
        <w:rPr>
          <w:rFonts w:ascii="Arial" w:hAnsi="Arial" w:cs="Arial"/>
        </w:rPr>
        <w:t xml:space="preserve">The above charts show that the mean hourly pay for males is </w:t>
      </w:r>
      <w:r w:rsidRPr="00467FF7">
        <w:rPr>
          <w:rFonts w:ascii="Arial" w:hAnsi="Arial" w:cs="Arial"/>
          <w:b/>
        </w:rPr>
        <w:t>£7.11</w:t>
      </w:r>
      <w:r w:rsidRPr="00467FF7">
        <w:rPr>
          <w:rFonts w:ascii="Arial" w:hAnsi="Arial" w:cs="Arial"/>
        </w:rPr>
        <w:t xml:space="preserve"> higher than that of females, a gender pay gap of </w:t>
      </w:r>
      <w:r w:rsidRPr="00467FF7">
        <w:rPr>
          <w:rFonts w:ascii="Arial" w:hAnsi="Arial" w:cs="Arial"/>
          <w:b/>
        </w:rPr>
        <w:t>28.2%</w:t>
      </w:r>
      <w:r w:rsidRPr="00467FF7">
        <w:rPr>
          <w:rFonts w:ascii="Arial" w:hAnsi="Arial" w:cs="Arial"/>
        </w:rPr>
        <w:t xml:space="preserve"> </w:t>
      </w:r>
    </w:p>
    <w:p w14:paraId="3C69807D" w14:textId="77777777" w:rsidR="000E2EAB" w:rsidRPr="000D19EB" w:rsidRDefault="000E2EAB" w:rsidP="000E2EAB">
      <w:pPr>
        <w:jc w:val="both"/>
        <w:rPr>
          <w:rFonts w:ascii="Arial" w:hAnsi="Arial" w:cs="Arial"/>
        </w:rPr>
      </w:pPr>
      <w:r w:rsidRPr="00467FF7">
        <w:rPr>
          <w:rFonts w:ascii="Arial" w:hAnsi="Arial" w:cs="Arial"/>
        </w:rPr>
        <w:t>They also show that median pay for males is £</w:t>
      </w:r>
      <w:r w:rsidRPr="00467FF7">
        <w:rPr>
          <w:rFonts w:ascii="Arial" w:hAnsi="Arial" w:cs="Arial"/>
          <w:b/>
          <w:bCs/>
        </w:rPr>
        <w:t>4.61</w:t>
      </w:r>
      <w:r w:rsidRPr="00467FF7">
        <w:rPr>
          <w:rFonts w:ascii="Arial" w:hAnsi="Arial" w:cs="Arial"/>
        </w:rPr>
        <w:t xml:space="preserve"> higher than females, a gender pay gap of </w:t>
      </w:r>
      <w:r w:rsidRPr="00467FF7">
        <w:rPr>
          <w:rFonts w:ascii="Arial" w:hAnsi="Arial" w:cs="Arial"/>
          <w:b/>
        </w:rPr>
        <w:t>21.7%.</w:t>
      </w:r>
      <w:r w:rsidRPr="00467FF7">
        <w:rPr>
          <w:rFonts w:ascii="Arial" w:hAnsi="Arial" w:cs="Arial"/>
        </w:rPr>
        <w:t xml:space="preserve">  We are also required to</w:t>
      </w:r>
      <w:r w:rsidRPr="00AD5EE0">
        <w:rPr>
          <w:rFonts w:ascii="Arial" w:hAnsi="Arial" w:cs="Arial"/>
        </w:rPr>
        <w:t xml:space="preserve"> split the workforce into quartiles (blocks of 25%) split by pay </w:t>
      </w:r>
      <w:r w:rsidRPr="000D19EB">
        <w:rPr>
          <w:rFonts w:ascii="Arial" w:hAnsi="Arial" w:cs="Arial"/>
        </w:rPr>
        <w:t xml:space="preserve">and show the proportion of males and females in each quartile. The results of this split are shown below. Even though females make up the majority of the workforce at </w:t>
      </w:r>
      <w:r w:rsidRPr="000D19EB">
        <w:rPr>
          <w:rFonts w:ascii="Arial" w:hAnsi="Arial" w:cs="Arial"/>
          <w:b/>
          <w:bCs/>
        </w:rPr>
        <w:t>79.2%</w:t>
      </w:r>
      <w:r w:rsidRPr="000D19EB">
        <w:rPr>
          <w:rFonts w:ascii="Arial" w:hAnsi="Arial" w:cs="Arial"/>
        </w:rPr>
        <w:t xml:space="preserve"> and males </w:t>
      </w:r>
      <w:r w:rsidRPr="000D19EB">
        <w:rPr>
          <w:rFonts w:ascii="Arial" w:hAnsi="Arial" w:cs="Arial"/>
          <w:b/>
          <w:bCs/>
        </w:rPr>
        <w:t>20.8%</w:t>
      </w:r>
      <w:r w:rsidRPr="000D19EB">
        <w:rPr>
          <w:rFonts w:ascii="Arial" w:hAnsi="Arial" w:cs="Arial"/>
        </w:rPr>
        <w:t xml:space="preserve"> there continues to be more males in the highest pay quartile (</w:t>
      </w:r>
      <w:r w:rsidRPr="000D19EB">
        <w:rPr>
          <w:rFonts w:ascii="Arial" w:hAnsi="Arial" w:cs="Arial"/>
          <w:b/>
        </w:rPr>
        <w:t>35.41%).</w:t>
      </w:r>
      <w:r w:rsidRPr="000D19EB">
        <w:rPr>
          <w:rFonts w:ascii="Arial" w:hAnsi="Arial" w:cs="Arial"/>
        </w:rPr>
        <w:t xml:space="preserve"> </w:t>
      </w:r>
    </w:p>
    <w:p w14:paraId="367313D4" w14:textId="0F4DF1BE" w:rsidR="000E2EAB" w:rsidRDefault="000E2EAB" w:rsidP="000E2EAB">
      <w:pPr>
        <w:jc w:val="both"/>
        <w:rPr>
          <w:rFonts w:ascii="Arial" w:hAnsi="Arial" w:cs="Arial"/>
        </w:rPr>
      </w:pPr>
      <w:r w:rsidRPr="000D19EB">
        <w:rPr>
          <w:rFonts w:ascii="Arial" w:hAnsi="Arial" w:cs="Arial"/>
        </w:rPr>
        <w:t xml:space="preserve">As explained in the introduction, the inclusion of medical </w:t>
      </w:r>
      <w:r w:rsidR="00F264A0">
        <w:rPr>
          <w:rFonts w:ascii="Arial" w:hAnsi="Arial" w:cs="Arial"/>
        </w:rPr>
        <w:t>staff</w:t>
      </w:r>
      <w:r w:rsidRPr="000D19EB">
        <w:rPr>
          <w:rFonts w:ascii="Arial" w:hAnsi="Arial" w:cs="Arial"/>
        </w:rPr>
        <w:t xml:space="preserve"> with the rest of the workforce has a significant effect on the GPG figures.</w:t>
      </w:r>
      <w:r w:rsidRPr="009123A0">
        <w:rPr>
          <w:rFonts w:ascii="Arial" w:hAnsi="Arial" w:cs="Arial"/>
        </w:rPr>
        <w:t xml:space="preserve"> </w:t>
      </w:r>
    </w:p>
    <w:bookmarkEnd w:id="4"/>
    <w:p w14:paraId="77CC6C60" w14:textId="77777777" w:rsidR="000E2EAB" w:rsidRPr="000E0724" w:rsidRDefault="000E2EAB" w:rsidP="000E2EAB">
      <w:pPr>
        <w:rPr>
          <w:rFonts w:ascii="Arial" w:hAnsi="Arial" w:cs="Arial"/>
          <w:b/>
          <w:bCs/>
        </w:rPr>
      </w:pPr>
    </w:p>
    <w:p w14:paraId="141CB227" w14:textId="0AC2469E" w:rsidR="000E2EAB" w:rsidRDefault="000E2EAB" w:rsidP="000E2EAB"/>
    <w:p w14:paraId="2BEB2BC1" w14:textId="77777777" w:rsidR="000E2EAB" w:rsidRPr="0071575A" w:rsidRDefault="000E2EAB" w:rsidP="000E2EAB">
      <w:pPr>
        <w:rPr>
          <w:sz w:val="24"/>
          <w:szCs w:val="24"/>
        </w:rPr>
      </w:pPr>
    </w:p>
    <w:p w14:paraId="2D48A6A3" w14:textId="77777777" w:rsidR="00B03A30" w:rsidRDefault="00B03A30" w:rsidP="000E2EAB">
      <w:pPr>
        <w:rPr>
          <w:rFonts w:ascii="Arial" w:hAnsi="Arial" w:cs="Arial"/>
          <w:b/>
          <w:sz w:val="24"/>
          <w:szCs w:val="24"/>
        </w:rPr>
      </w:pPr>
      <w:bookmarkStart w:id="5" w:name="_Hlk125636304"/>
    </w:p>
    <w:p w14:paraId="09CA96A0" w14:textId="77777777" w:rsidR="00B03A30" w:rsidRDefault="00B03A30" w:rsidP="000E2EAB">
      <w:pPr>
        <w:rPr>
          <w:rFonts w:ascii="Arial" w:hAnsi="Arial" w:cs="Arial"/>
          <w:b/>
          <w:sz w:val="24"/>
          <w:szCs w:val="24"/>
        </w:rPr>
      </w:pPr>
    </w:p>
    <w:p w14:paraId="1403C3D8" w14:textId="77777777" w:rsidR="00B03A30" w:rsidRDefault="00B03A30" w:rsidP="000E2EAB">
      <w:pPr>
        <w:rPr>
          <w:rFonts w:ascii="Arial" w:hAnsi="Arial" w:cs="Arial"/>
          <w:b/>
          <w:sz w:val="24"/>
          <w:szCs w:val="24"/>
        </w:rPr>
      </w:pPr>
    </w:p>
    <w:p w14:paraId="27FB46D4" w14:textId="77777777" w:rsidR="00B03A30" w:rsidRDefault="00B03A30" w:rsidP="000E2EAB">
      <w:pPr>
        <w:rPr>
          <w:rFonts w:ascii="Arial" w:hAnsi="Arial" w:cs="Arial"/>
          <w:b/>
          <w:sz w:val="24"/>
          <w:szCs w:val="24"/>
        </w:rPr>
      </w:pPr>
    </w:p>
    <w:p w14:paraId="358DBBC2" w14:textId="77777777" w:rsidR="00B03A30" w:rsidRDefault="00B03A30" w:rsidP="000E2EAB">
      <w:pPr>
        <w:rPr>
          <w:rFonts w:ascii="Arial" w:hAnsi="Arial" w:cs="Arial"/>
          <w:b/>
          <w:sz w:val="24"/>
          <w:szCs w:val="24"/>
        </w:rPr>
      </w:pPr>
    </w:p>
    <w:p w14:paraId="6279B4B9" w14:textId="77777777" w:rsidR="00B03A30" w:rsidRDefault="00B03A30" w:rsidP="000E2EAB">
      <w:pPr>
        <w:rPr>
          <w:rFonts w:ascii="Arial" w:hAnsi="Arial" w:cs="Arial"/>
          <w:b/>
          <w:sz w:val="24"/>
          <w:szCs w:val="24"/>
        </w:rPr>
      </w:pPr>
    </w:p>
    <w:p w14:paraId="783DFFF0" w14:textId="77777777" w:rsidR="00B03A30" w:rsidRDefault="00B03A30" w:rsidP="000E2EAB">
      <w:pPr>
        <w:rPr>
          <w:rFonts w:ascii="Arial" w:hAnsi="Arial" w:cs="Arial"/>
          <w:b/>
          <w:sz w:val="24"/>
          <w:szCs w:val="24"/>
        </w:rPr>
      </w:pPr>
    </w:p>
    <w:p w14:paraId="3741D13F" w14:textId="77777777" w:rsidR="005E75B1" w:rsidRDefault="005E75B1" w:rsidP="000E2EAB">
      <w:pPr>
        <w:rPr>
          <w:rFonts w:ascii="Arial" w:hAnsi="Arial" w:cs="Arial"/>
          <w:b/>
          <w:sz w:val="24"/>
          <w:szCs w:val="24"/>
        </w:rPr>
      </w:pPr>
    </w:p>
    <w:p w14:paraId="2AB9066D" w14:textId="77777777" w:rsidR="005E75B1" w:rsidRDefault="005E75B1" w:rsidP="000E2EAB">
      <w:pPr>
        <w:rPr>
          <w:rFonts w:ascii="Arial" w:hAnsi="Arial" w:cs="Arial"/>
          <w:b/>
          <w:sz w:val="24"/>
          <w:szCs w:val="24"/>
        </w:rPr>
      </w:pPr>
    </w:p>
    <w:p w14:paraId="7DCEE90B" w14:textId="77777777" w:rsidR="005E75B1" w:rsidRDefault="005E75B1" w:rsidP="000E2EAB">
      <w:pPr>
        <w:rPr>
          <w:rFonts w:ascii="Arial" w:hAnsi="Arial" w:cs="Arial"/>
          <w:b/>
          <w:sz w:val="24"/>
          <w:szCs w:val="24"/>
        </w:rPr>
      </w:pPr>
    </w:p>
    <w:p w14:paraId="77FA5DAE" w14:textId="638B9B3A" w:rsidR="000E2EAB" w:rsidRPr="0071575A" w:rsidRDefault="000E2EAB" w:rsidP="000E2EAB">
      <w:pPr>
        <w:rPr>
          <w:rFonts w:ascii="Arial" w:hAnsi="Arial" w:cs="Arial"/>
          <w:b/>
          <w:sz w:val="24"/>
          <w:szCs w:val="24"/>
        </w:rPr>
      </w:pPr>
      <w:r w:rsidRPr="0071575A">
        <w:rPr>
          <w:rFonts w:ascii="Arial" w:hAnsi="Arial" w:cs="Arial"/>
          <w:b/>
          <w:sz w:val="24"/>
          <w:szCs w:val="24"/>
        </w:rPr>
        <w:lastRenderedPageBreak/>
        <w:t xml:space="preserve">Gender Pay Gap GHFT </w:t>
      </w:r>
      <w:r w:rsidRPr="0071575A">
        <w:rPr>
          <w:rFonts w:ascii="Arial" w:hAnsi="Arial" w:cs="Arial"/>
          <w:b/>
          <w:sz w:val="24"/>
          <w:szCs w:val="24"/>
          <w:u w:val="single"/>
        </w:rPr>
        <w:t>excluding</w:t>
      </w:r>
      <w:r w:rsidRPr="0071575A">
        <w:rPr>
          <w:rFonts w:ascii="Arial" w:hAnsi="Arial" w:cs="Arial"/>
          <w:b/>
          <w:sz w:val="24"/>
          <w:szCs w:val="24"/>
        </w:rPr>
        <w:t xml:space="preserve"> Medical </w:t>
      </w:r>
      <w:r w:rsidR="00F264A0">
        <w:rPr>
          <w:rFonts w:ascii="Arial" w:hAnsi="Arial" w:cs="Arial"/>
          <w:b/>
          <w:sz w:val="24"/>
          <w:szCs w:val="24"/>
        </w:rPr>
        <w:t>Staff</w:t>
      </w:r>
    </w:p>
    <w:p w14:paraId="5AE8E2DB" w14:textId="76F80FEC" w:rsidR="000E2EAB" w:rsidRPr="00AD5EE0" w:rsidRDefault="000E2EAB" w:rsidP="000E2EAB">
      <w:pPr>
        <w:jc w:val="both"/>
        <w:rPr>
          <w:rFonts w:ascii="Arial" w:hAnsi="Arial" w:cs="Arial"/>
        </w:rPr>
      </w:pPr>
      <w:r w:rsidRPr="000D19EB">
        <w:rPr>
          <w:rFonts w:ascii="Arial" w:hAnsi="Arial" w:cs="Arial"/>
        </w:rPr>
        <w:t xml:space="preserve">When removing Medical </w:t>
      </w:r>
      <w:r w:rsidR="00F264A0" w:rsidRPr="00F264A0">
        <w:rPr>
          <w:rFonts w:ascii="Arial" w:hAnsi="Arial" w:cs="Arial"/>
          <w:bCs/>
        </w:rPr>
        <w:t>Staff</w:t>
      </w:r>
      <w:r w:rsidRPr="000D19EB">
        <w:rPr>
          <w:rFonts w:ascii="Arial" w:hAnsi="Arial" w:cs="Arial"/>
        </w:rPr>
        <w:t xml:space="preserve"> from the equation, GHFT has an even higher percentage of females than males in its workforce - Of the </w:t>
      </w:r>
      <w:r w:rsidRPr="000D19EB">
        <w:rPr>
          <w:rFonts w:ascii="Arial" w:hAnsi="Arial" w:cs="Arial"/>
          <w:b/>
          <w:bCs/>
        </w:rPr>
        <w:t xml:space="preserve">6664 </w:t>
      </w:r>
      <w:r w:rsidR="00F264A0">
        <w:rPr>
          <w:rFonts w:ascii="Arial" w:hAnsi="Arial" w:cs="Arial"/>
        </w:rPr>
        <w:t>staff</w:t>
      </w:r>
      <w:r w:rsidRPr="000D19EB">
        <w:rPr>
          <w:rFonts w:ascii="Arial" w:hAnsi="Arial" w:cs="Arial"/>
        </w:rPr>
        <w:t xml:space="preserve"> counted as part of the gender pay gap reporting, </w:t>
      </w:r>
      <w:r w:rsidRPr="000D19EB">
        <w:rPr>
          <w:rFonts w:ascii="Arial" w:hAnsi="Arial" w:cs="Arial"/>
          <w:b/>
          <w:bCs/>
        </w:rPr>
        <w:t>85%</w:t>
      </w:r>
      <w:r w:rsidRPr="000D19EB">
        <w:rPr>
          <w:rFonts w:ascii="Arial" w:hAnsi="Arial" w:cs="Arial"/>
        </w:rPr>
        <w:t xml:space="preserve"> were female (</w:t>
      </w:r>
      <w:r w:rsidRPr="000D19EB">
        <w:rPr>
          <w:rFonts w:ascii="Arial" w:hAnsi="Arial" w:cs="Arial"/>
          <w:b/>
          <w:bCs/>
        </w:rPr>
        <w:t>from 79.2%</w:t>
      </w:r>
      <w:r w:rsidRPr="000D19EB">
        <w:rPr>
          <w:rFonts w:ascii="Arial" w:hAnsi="Arial" w:cs="Arial"/>
        </w:rPr>
        <w:t xml:space="preserve"> when Medical Staff were included). The Gender Pay Gap is much smaller as an average, and is </w:t>
      </w:r>
      <w:r w:rsidRPr="000D19EB">
        <w:rPr>
          <w:rFonts w:ascii="Arial" w:hAnsi="Arial" w:cs="Arial"/>
          <w:b/>
          <w:bCs/>
        </w:rPr>
        <w:t>-2%</w:t>
      </w:r>
      <w:r w:rsidRPr="000D19EB">
        <w:rPr>
          <w:rFonts w:ascii="Arial" w:hAnsi="Arial" w:cs="Arial"/>
        </w:rPr>
        <w:t xml:space="preserve"> for the median.</w:t>
      </w:r>
    </w:p>
    <w:bookmarkEnd w:id="5"/>
    <w:p w14:paraId="3353D522" w14:textId="62338642" w:rsidR="000E2EAB" w:rsidRDefault="000E2EAB" w:rsidP="000E2EAB">
      <w:pPr>
        <w:rPr>
          <w:noProof/>
        </w:rPr>
      </w:pPr>
      <w:r>
        <w:rPr>
          <w:noProof/>
        </w:rPr>
        <w:drawing>
          <wp:inline distT="0" distB="0" distL="0" distR="0" wp14:anchorId="15BC62DE" wp14:editId="12845147">
            <wp:extent cx="2829560" cy="2419350"/>
            <wp:effectExtent l="0" t="0" r="8890" b="0"/>
            <wp:docPr id="6" name="Chart 6">
              <a:extLst xmlns:a="http://schemas.openxmlformats.org/drawingml/2006/main">
                <a:ext uri="{FF2B5EF4-FFF2-40B4-BE49-F238E27FC236}">
                  <a16:creationId xmlns:a16="http://schemas.microsoft.com/office/drawing/2014/main" id="{FD1CB00D-78FA-4104-AB74-B171F01255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490E21">
        <w:rPr>
          <w:noProof/>
        </w:rPr>
        <w:t xml:space="preserve"> </w:t>
      </w:r>
      <w:r w:rsidR="0022652C">
        <w:rPr>
          <w:noProof/>
          <w:lang w:eastAsia="en-GB"/>
        </w:rPr>
        <w:drawing>
          <wp:inline distT="0" distB="0" distL="0" distR="0" wp14:anchorId="6DB282AB" wp14:editId="686F0CF2">
            <wp:extent cx="2847975" cy="2438400"/>
            <wp:effectExtent l="0" t="0" r="9525"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B3912C" w14:textId="7824F7CE" w:rsidR="000E2EAB" w:rsidRDefault="00F96E79" w:rsidP="000E2EAB">
      <w:pPr>
        <w:jc w:val="both"/>
        <w:rPr>
          <w:rFonts w:ascii="Arial" w:hAnsi="Arial" w:cs="Arial"/>
        </w:rPr>
      </w:pPr>
      <w:r>
        <w:rPr>
          <w:noProof/>
        </w:rPr>
        <w:drawing>
          <wp:inline distT="0" distB="0" distL="0" distR="0" wp14:anchorId="3D439851" wp14:editId="31B67FD2">
            <wp:extent cx="5731510" cy="2306320"/>
            <wp:effectExtent l="0" t="0" r="2540" b="17780"/>
            <wp:docPr id="18" name="Chart 18">
              <a:extLst xmlns:a="http://schemas.openxmlformats.org/drawingml/2006/main">
                <a:ext uri="{FF2B5EF4-FFF2-40B4-BE49-F238E27FC236}">
                  <a16:creationId xmlns:a16="http://schemas.microsoft.com/office/drawing/2014/main" id="{4D89B5A8-B33A-474F-9C9F-3F269B56DF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680EE2A" w14:textId="77777777" w:rsidR="004E73F3" w:rsidRDefault="004E73F3" w:rsidP="000E2EAB">
      <w:pPr>
        <w:jc w:val="both"/>
        <w:rPr>
          <w:rFonts w:ascii="Arial" w:hAnsi="Arial" w:cs="Arial"/>
        </w:rPr>
      </w:pPr>
    </w:p>
    <w:p w14:paraId="1BD52C76" w14:textId="0AB38F1F" w:rsidR="000E2EAB" w:rsidRDefault="000E2EAB" w:rsidP="000E2EAB">
      <w:pPr>
        <w:jc w:val="both"/>
        <w:rPr>
          <w:rFonts w:ascii="Arial" w:hAnsi="Arial" w:cs="Arial"/>
          <w:noProof/>
          <w:lang w:eastAsia="en-GB"/>
        </w:rPr>
      </w:pPr>
      <w:r w:rsidRPr="000D19EB">
        <w:rPr>
          <w:rFonts w:ascii="Arial" w:hAnsi="Arial" w:cs="Arial"/>
        </w:rPr>
        <w:t xml:space="preserve">The above charts show that the mean hourly pay for males is </w:t>
      </w:r>
      <w:r w:rsidRPr="000D19EB">
        <w:rPr>
          <w:rFonts w:ascii="Arial" w:hAnsi="Arial" w:cs="Arial"/>
          <w:b/>
          <w:bCs/>
        </w:rPr>
        <w:t>£0.70</w:t>
      </w:r>
      <w:r w:rsidRPr="000D19EB">
        <w:rPr>
          <w:rFonts w:ascii="Arial" w:hAnsi="Arial" w:cs="Arial"/>
        </w:rPr>
        <w:t xml:space="preserve"> higher than that of females, a gender pay gap of </w:t>
      </w:r>
      <w:r w:rsidRPr="000D19EB">
        <w:rPr>
          <w:rFonts w:ascii="Arial" w:hAnsi="Arial" w:cs="Arial"/>
          <w:b/>
          <w:bCs/>
        </w:rPr>
        <w:t>4.1%.</w:t>
      </w:r>
      <w:r w:rsidRPr="000D19EB">
        <w:rPr>
          <w:rFonts w:ascii="Arial" w:hAnsi="Arial" w:cs="Arial"/>
        </w:rPr>
        <w:t xml:space="preserve"> The quartile split also show a higher proportion of females in all pay quartiles.</w:t>
      </w:r>
      <w:r>
        <w:rPr>
          <w:rFonts w:ascii="Arial" w:hAnsi="Arial" w:cs="Arial"/>
        </w:rPr>
        <w:t xml:space="preserve"> </w:t>
      </w:r>
    </w:p>
    <w:p w14:paraId="5C177EDC" w14:textId="77777777" w:rsidR="000E2EAB" w:rsidRDefault="000E2EAB" w:rsidP="000E2EAB">
      <w:pPr>
        <w:jc w:val="both"/>
        <w:rPr>
          <w:rFonts w:ascii="Arial" w:hAnsi="Arial" w:cs="Arial"/>
          <w:b/>
        </w:rPr>
      </w:pPr>
    </w:p>
    <w:p w14:paraId="71466655" w14:textId="77777777" w:rsidR="009C358B" w:rsidRDefault="009C358B" w:rsidP="000E2EAB">
      <w:pPr>
        <w:jc w:val="center"/>
        <w:rPr>
          <w:rFonts w:ascii="Arial" w:hAnsi="Arial" w:cs="Arial"/>
          <w:b/>
          <w:sz w:val="24"/>
          <w:szCs w:val="24"/>
        </w:rPr>
      </w:pPr>
    </w:p>
    <w:p w14:paraId="4500E4EF" w14:textId="77777777" w:rsidR="009C358B" w:rsidRDefault="009C358B" w:rsidP="000E2EAB">
      <w:pPr>
        <w:jc w:val="center"/>
        <w:rPr>
          <w:rFonts w:ascii="Arial" w:hAnsi="Arial" w:cs="Arial"/>
          <w:b/>
          <w:sz w:val="24"/>
          <w:szCs w:val="24"/>
        </w:rPr>
      </w:pPr>
    </w:p>
    <w:p w14:paraId="262E3BE8" w14:textId="77777777" w:rsidR="009C358B" w:rsidRDefault="009C358B" w:rsidP="000E2EAB">
      <w:pPr>
        <w:jc w:val="center"/>
        <w:rPr>
          <w:rFonts w:ascii="Arial" w:hAnsi="Arial" w:cs="Arial"/>
          <w:b/>
          <w:sz w:val="24"/>
          <w:szCs w:val="24"/>
        </w:rPr>
      </w:pPr>
    </w:p>
    <w:p w14:paraId="705C75A8" w14:textId="77777777" w:rsidR="009C358B" w:rsidRDefault="009C358B" w:rsidP="000E2EAB">
      <w:pPr>
        <w:jc w:val="center"/>
        <w:rPr>
          <w:rFonts w:ascii="Arial" w:hAnsi="Arial" w:cs="Arial"/>
          <w:b/>
          <w:sz w:val="24"/>
          <w:szCs w:val="24"/>
        </w:rPr>
      </w:pPr>
    </w:p>
    <w:p w14:paraId="20196947" w14:textId="77777777" w:rsidR="005E75B1" w:rsidRDefault="005E75B1" w:rsidP="009C358B">
      <w:pPr>
        <w:rPr>
          <w:rFonts w:ascii="Arial" w:hAnsi="Arial" w:cs="Arial"/>
          <w:b/>
          <w:sz w:val="24"/>
          <w:szCs w:val="24"/>
        </w:rPr>
      </w:pPr>
    </w:p>
    <w:p w14:paraId="0C6AAF84" w14:textId="68AF1730" w:rsidR="000E2EAB" w:rsidRPr="0071575A" w:rsidRDefault="000E2EAB" w:rsidP="009C358B">
      <w:pPr>
        <w:rPr>
          <w:rFonts w:ascii="Arial" w:hAnsi="Arial" w:cs="Arial"/>
          <w:b/>
          <w:sz w:val="24"/>
          <w:szCs w:val="24"/>
        </w:rPr>
      </w:pPr>
      <w:r w:rsidRPr="0071575A">
        <w:rPr>
          <w:rFonts w:ascii="Arial" w:hAnsi="Arial" w:cs="Arial"/>
          <w:b/>
          <w:sz w:val="24"/>
          <w:szCs w:val="24"/>
        </w:rPr>
        <w:t xml:space="preserve">Gender Pay Gap GHFT Medical </w:t>
      </w:r>
      <w:r w:rsidR="00F264A0">
        <w:rPr>
          <w:rFonts w:ascii="Arial" w:hAnsi="Arial" w:cs="Arial"/>
          <w:b/>
          <w:bCs/>
          <w:sz w:val="24"/>
          <w:szCs w:val="24"/>
        </w:rPr>
        <w:t>Staff</w:t>
      </w:r>
      <w:r w:rsidR="0071575A" w:rsidRPr="0071575A">
        <w:rPr>
          <w:rFonts w:ascii="Arial" w:hAnsi="Arial" w:cs="Arial"/>
          <w:b/>
          <w:sz w:val="24"/>
          <w:szCs w:val="24"/>
        </w:rPr>
        <w:t xml:space="preserve"> </w:t>
      </w:r>
      <w:r w:rsidRPr="0071575A">
        <w:rPr>
          <w:rFonts w:ascii="Arial" w:hAnsi="Arial" w:cs="Arial"/>
          <w:b/>
          <w:sz w:val="24"/>
          <w:szCs w:val="24"/>
        </w:rPr>
        <w:t>Only</w:t>
      </w:r>
    </w:p>
    <w:p w14:paraId="73DC1C83" w14:textId="028D9F5C" w:rsidR="000E2EAB" w:rsidRDefault="000E2EAB" w:rsidP="000E2EAB">
      <w:pPr>
        <w:jc w:val="both"/>
        <w:rPr>
          <w:rFonts w:ascii="Arial" w:hAnsi="Arial" w:cs="Arial"/>
        </w:rPr>
      </w:pPr>
      <w:r w:rsidRPr="000D19EB">
        <w:rPr>
          <w:rFonts w:ascii="Arial" w:hAnsi="Arial" w:cs="Arial"/>
        </w:rPr>
        <w:t xml:space="preserve">When including only Medical </w:t>
      </w:r>
      <w:r w:rsidR="00F264A0" w:rsidRPr="00F264A0">
        <w:rPr>
          <w:rFonts w:ascii="Arial" w:hAnsi="Arial" w:cs="Arial"/>
          <w:bCs/>
        </w:rPr>
        <w:t>Staff</w:t>
      </w:r>
      <w:r w:rsidRPr="000D19EB">
        <w:rPr>
          <w:rFonts w:ascii="Arial" w:hAnsi="Arial" w:cs="Arial"/>
        </w:rPr>
        <w:t xml:space="preserve">, </w:t>
      </w:r>
      <w:r w:rsidR="00F264A0">
        <w:rPr>
          <w:rFonts w:ascii="Arial" w:hAnsi="Arial" w:cs="Arial"/>
        </w:rPr>
        <w:t xml:space="preserve">the Trust </w:t>
      </w:r>
      <w:r w:rsidRPr="000D19EB">
        <w:rPr>
          <w:rFonts w:ascii="Arial" w:hAnsi="Arial" w:cs="Arial"/>
        </w:rPr>
        <w:t xml:space="preserve">still has a higher percentage of females than males overall in its workforce, but the difference isn’t so great. Of the </w:t>
      </w:r>
      <w:r w:rsidRPr="00205DD5">
        <w:rPr>
          <w:rFonts w:ascii="Arial" w:hAnsi="Arial" w:cs="Arial"/>
          <w:b/>
          <w:bCs/>
        </w:rPr>
        <w:t>793</w:t>
      </w:r>
      <w:r w:rsidRPr="000D19EB">
        <w:rPr>
          <w:rFonts w:ascii="Arial" w:hAnsi="Arial" w:cs="Arial"/>
        </w:rPr>
        <w:t xml:space="preserve"> </w:t>
      </w:r>
      <w:r w:rsidR="00205DD5" w:rsidRPr="00205DD5">
        <w:rPr>
          <w:rFonts w:ascii="Arial" w:hAnsi="Arial" w:cs="Arial"/>
          <w:b/>
          <w:bCs/>
        </w:rPr>
        <w:t>(Based on this assignment Category)</w:t>
      </w:r>
      <w:r w:rsidR="00205DD5">
        <w:rPr>
          <w:rFonts w:ascii="Arial" w:hAnsi="Arial" w:cs="Arial"/>
        </w:rPr>
        <w:t xml:space="preserve"> </w:t>
      </w:r>
      <w:r w:rsidRPr="000D19EB">
        <w:rPr>
          <w:rFonts w:ascii="Arial" w:hAnsi="Arial" w:cs="Arial"/>
        </w:rPr>
        <w:t>Medical</w:t>
      </w:r>
      <w:r w:rsidR="00F264A0">
        <w:rPr>
          <w:rFonts w:ascii="Arial" w:hAnsi="Arial" w:cs="Arial"/>
        </w:rPr>
        <w:t xml:space="preserve"> </w:t>
      </w:r>
      <w:r w:rsidR="00F264A0" w:rsidRPr="00F264A0">
        <w:rPr>
          <w:rFonts w:ascii="Arial" w:hAnsi="Arial" w:cs="Arial"/>
          <w:bCs/>
        </w:rPr>
        <w:t>Staff</w:t>
      </w:r>
      <w:r w:rsidR="00F264A0" w:rsidRPr="000D19EB">
        <w:rPr>
          <w:rFonts w:ascii="Arial" w:hAnsi="Arial" w:cs="Arial"/>
        </w:rPr>
        <w:t xml:space="preserve"> </w:t>
      </w:r>
      <w:r w:rsidRPr="000D19EB">
        <w:rPr>
          <w:rFonts w:ascii="Arial" w:hAnsi="Arial" w:cs="Arial"/>
        </w:rPr>
        <w:t xml:space="preserve">counted as part of the gender pay gap reporting (including GPT), 52.6% were female (from 79.2% when non-Medical </w:t>
      </w:r>
      <w:r w:rsidR="00F264A0">
        <w:rPr>
          <w:rFonts w:ascii="Arial" w:hAnsi="Arial" w:cs="Arial"/>
        </w:rPr>
        <w:t>staff</w:t>
      </w:r>
      <w:r w:rsidRPr="000D19EB">
        <w:rPr>
          <w:rFonts w:ascii="Arial" w:hAnsi="Arial" w:cs="Arial"/>
        </w:rPr>
        <w:t xml:space="preserve"> included).</w:t>
      </w:r>
      <w:r w:rsidRPr="00AD5EE0">
        <w:rPr>
          <w:rFonts w:ascii="Arial" w:hAnsi="Arial" w:cs="Arial"/>
        </w:rPr>
        <w:t xml:space="preserve"> </w:t>
      </w:r>
    </w:p>
    <w:p w14:paraId="5E3ECB51" w14:textId="1B47842F" w:rsidR="000E2EAB" w:rsidRDefault="000E2EAB" w:rsidP="000E2EAB">
      <w:pPr>
        <w:rPr>
          <w:noProof/>
        </w:rPr>
      </w:pPr>
      <w:r>
        <w:rPr>
          <w:noProof/>
        </w:rPr>
        <w:drawing>
          <wp:inline distT="0" distB="0" distL="0" distR="0" wp14:anchorId="64BDB957" wp14:editId="5D7C29D4">
            <wp:extent cx="2829702" cy="2648478"/>
            <wp:effectExtent l="0" t="0" r="8890" b="0"/>
            <wp:docPr id="9" name="Chart 9">
              <a:extLst xmlns:a="http://schemas.openxmlformats.org/drawingml/2006/main">
                <a:ext uri="{FF2B5EF4-FFF2-40B4-BE49-F238E27FC236}">
                  <a16:creationId xmlns:a16="http://schemas.microsoft.com/office/drawing/2014/main" id="{EEC72500-E5A0-47D8-BD41-BCD2385500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BE297D">
        <w:rPr>
          <w:noProof/>
        </w:rPr>
        <w:t xml:space="preserve"> </w:t>
      </w:r>
      <w:r w:rsidR="000A2672">
        <w:rPr>
          <w:noProof/>
        </w:rPr>
        <w:drawing>
          <wp:inline distT="0" distB="0" distL="0" distR="0" wp14:anchorId="21A6C057" wp14:editId="01DDE33A">
            <wp:extent cx="2609850" cy="2614930"/>
            <wp:effectExtent l="0" t="0" r="0" b="13970"/>
            <wp:docPr id="16" name="Chart 16">
              <a:extLst xmlns:a="http://schemas.openxmlformats.org/drawingml/2006/main">
                <a:ext uri="{FF2B5EF4-FFF2-40B4-BE49-F238E27FC236}">
                  <a16:creationId xmlns:a16="http://schemas.microsoft.com/office/drawing/2014/main" id="{AA93BC8B-59E1-4047-B7EE-F25FADE848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B893A1C" w14:textId="77777777" w:rsidR="000E2EAB" w:rsidRDefault="000E2EAB" w:rsidP="000E2EAB">
      <w:pPr>
        <w:jc w:val="both"/>
        <w:rPr>
          <w:rFonts w:ascii="Arial" w:hAnsi="Arial" w:cs="Arial"/>
        </w:rPr>
      </w:pPr>
      <w:r>
        <w:rPr>
          <w:noProof/>
        </w:rPr>
        <w:drawing>
          <wp:inline distT="0" distB="0" distL="0" distR="0" wp14:anchorId="17D174F2" wp14:editId="27DA0039">
            <wp:extent cx="5731510" cy="2400300"/>
            <wp:effectExtent l="0" t="0" r="2540" b="0"/>
            <wp:docPr id="8" name="Chart 8">
              <a:extLst xmlns:a="http://schemas.openxmlformats.org/drawingml/2006/main">
                <a:ext uri="{FF2B5EF4-FFF2-40B4-BE49-F238E27FC236}">
                  <a16:creationId xmlns:a16="http://schemas.microsoft.com/office/drawing/2014/main" id="{4209E413-0AB7-4E57-94B8-C292422FFA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21F1BEA" w14:textId="77777777" w:rsidR="004E73F3" w:rsidRDefault="004E73F3" w:rsidP="000E2EAB">
      <w:pPr>
        <w:jc w:val="both"/>
        <w:rPr>
          <w:rFonts w:ascii="Arial" w:hAnsi="Arial" w:cs="Arial"/>
        </w:rPr>
      </w:pPr>
    </w:p>
    <w:p w14:paraId="4A870AFB" w14:textId="18D157B9" w:rsidR="000E2EAB" w:rsidRPr="006D6C8B" w:rsidRDefault="000E2EAB" w:rsidP="000E2EAB">
      <w:pPr>
        <w:jc w:val="both"/>
        <w:rPr>
          <w:rFonts w:ascii="Arial" w:hAnsi="Arial" w:cs="Arial"/>
        </w:rPr>
      </w:pPr>
      <w:r w:rsidRPr="000D19EB">
        <w:rPr>
          <w:rFonts w:ascii="Arial" w:hAnsi="Arial" w:cs="Arial"/>
        </w:rPr>
        <w:t xml:space="preserve">The above charts show that the mean hourly pay for males is </w:t>
      </w:r>
      <w:r w:rsidRPr="000D19EB">
        <w:rPr>
          <w:rFonts w:ascii="Arial" w:hAnsi="Arial" w:cs="Arial"/>
          <w:b/>
        </w:rPr>
        <w:t>£6.65</w:t>
      </w:r>
      <w:r w:rsidRPr="000D19EB">
        <w:rPr>
          <w:rFonts w:ascii="Arial" w:hAnsi="Arial" w:cs="Arial"/>
        </w:rPr>
        <w:t xml:space="preserve"> higher than that of females, a gender pay gap of </w:t>
      </w:r>
      <w:r w:rsidRPr="000D19EB">
        <w:rPr>
          <w:rFonts w:ascii="Arial" w:hAnsi="Arial" w:cs="Arial"/>
          <w:b/>
        </w:rPr>
        <w:t>18%.</w:t>
      </w:r>
      <w:r w:rsidRPr="000D19EB">
        <w:rPr>
          <w:rFonts w:ascii="Arial" w:hAnsi="Arial" w:cs="Arial"/>
        </w:rPr>
        <w:t xml:space="preserve"> The above chart also shows that median pay for males is </w:t>
      </w:r>
      <w:r w:rsidRPr="000D19EB">
        <w:rPr>
          <w:rFonts w:ascii="Arial" w:hAnsi="Arial" w:cs="Arial"/>
          <w:b/>
        </w:rPr>
        <w:t>£1.44</w:t>
      </w:r>
      <w:r w:rsidRPr="000D19EB">
        <w:rPr>
          <w:rFonts w:ascii="Arial" w:hAnsi="Arial" w:cs="Arial"/>
        </w:rPr>
        <w:t xml:space="preserve"> higher than females, a gender pay gap of </w:t>
      </w:r>
      <w:r w:rsidRPr="000D19EB">
        <w:rPr>
          <w:rFonts w:ascii="Arial" w:hAnsi="Arial" w:cs="Arial"/>
          <w:b/>
        </w:rPr>
        <w:t xml:space="preserve">4.9%. </w:t>
      </w:r>
      <w:r w:rsidRPr="000D19EB">
        <w:rPr>
          <w:rFonts w:ascii="Arial" w:hAnsi="Arial" w:cs="Arial"/>
        </w:rPr>
        <w:t xml:space="preserve">The quartile split shows that the lower quartile is </w:t>
      </w:r>
      <w:r w:rsidRPr="000D19EB">
        <w:rPr>
          <w:rFonts w:ascii="Arial" w:hAnsi="Arial" w:cs="Arial"/>
          <w:b/>
        </w:rPr>
        <w:t>58.7%</w:t>
      </w:r>
      <w:r w:rsidRPr="000D19EB">
        <w:rPr>
          <w:rFonts w:ascii="Arial" w:hAnsi="Arial" w:cs="Arial"/>
        </w:rPr>
        <w:t xml:space="preserve"> female, while in the upper quartile this is completely reversed and </w:t>
      </w:r>
      <w:r w:rsidRPr="000D19EB">
        <w:rPr>
          <w:rFonts w:ascii="Arial" w:hAnsi="Arial" w:cs="Arial"/>
          <w:b/>
        </w:rPr>
        <w:t>64.7%</w:t>
      </w:r>
      <w:r w:rsidRPr="000D19EB">
        <w:rPr>
          <w:rFonts w:ascii="Arial" w:hAnsi="Arial" w:cs="Arial"/>
        </w:rPr>
        <w:t xml:space="preserve"> are male.</w:t>
      </w:r>
    </w:p>
    <w:p w14:paraId="39BD0B9C" w14:textId="77777777" w:rsidR="000E2EAB" w:rsidRDefault="000E2EAB" w:rsidP="000E2EAB">
      <w:pPr>
        <w:jc w:val="both"/>
        <w:rPr>
          <w:rFonts w:ascii="Arial" w:hAnsi="Arial" w:cs="Arial"/>
          <w:b/>
        </w:rPr>
      </w:pPr>
    </w:p>
    <w:p w14:paraId="798537BA" w14:textId="77777777" w:rsidR="005E75B1" w:rsidRDefault="005E75B1" w:rsidP="000E2EAB">
      <w:pPr>
        <w:jc w:val="both"/>
        <w:rPr>
          <w:rFonts w:ascii="Arial" w:hAnsi="Arial" w:cs="Arial"/>
          <w:b/>
        </w:rPr>
      </w:pPr>
    </w:p>
    <w:p w14:paraId="5A2FA916" w14:textId="77777777" w:rsidR="00D0308C" w:rsidRDefault="00D0308C" w:rsidP="000E2EAB">
      <w:pPr>
        <w:jc w:val="both"/>
        <w:rPr>
          <w:rFonts w:ascii="Arial" w:hAnsi="Arial" w:cs="Arial"/>
          <w:b/>
        </w:rPr>
      </w:pPr>
    </w:p>
    <w:p w14:paraId="24734401" w14:textId="2E0A3F6B" w:rsidR="000E2EAB" w:rsidRPr="009123A0" w:rsidRDefault="000E2EAB" w:rsidP="000E2EAB">
      <w:pPr>
        <w:jc w:val="both"/>
        <w:rPr>
          <w:rFonts w:ascii="Arial" w:hAnsi="Arial" w:cs="Arial"/>
          <w:b/>
        </w:rPr>
      </w:pPr>
      <w:r w:rsidRPr="009123A0">
        <w:rPr>
          <w:rFonts w:ascii="Arial" w:hAnsi="Arial" w:cs="Arial"/>
          <w:b/>
        </w:rPr>
        <w:lastRenderedPageBreak/>
        <w:t xml:space="preserve">What does this mean? </w:t>
      </w:r>
    </w:p>
    <w:p w14:paraId="75049627" w14:textId="2DAC4621" w:rsidR="000E2EAB" w:rsidRPr="009123A0" w:rsidRDefault="000E2EAB" w:rsidP="000E2EAB">
      <w:pPr>
        <w:jc w:val="both"/>
        <w:rPr>
          <w:rFonts w:ascii="Arial" w:hAnsi="Arial" w:cs="Arial"/>
          <w:color w:val="92D050"/>
        </w:rPr>
      </w:pPr>
      <w:r w:rsidRPr="009123A0">
        <w:rPr>
          <w:rFonts w:ascii="Arial" w:hAnsi="Arial" w:cs="Arial"/>
        </w:rPr>
        <w:t xml:space="preserve">The figure for the median pay gap is usually considered to be more representative of gender pay gap across the workforce. However, that still does not take account of the small numbers of higher paid </w:t>
      </w:r>
      <w:r w:rsidR="00F264A0">
        <w:rPr>
          <w:rFonts w:ascii="Arial" w:hAnsi="Arial" w:cs="Arial"/>
        </w:rPr>
        <w:t>staff</w:t>
      </w:r>
      <w:r w:rsidRPr="009123A0">
        <w:rPr>
          <w:rFonts w:ascii="Arial" w:hAnsi="Arial" w:cs="Arial"/>
        </w:rPr>
        <w:t xml:space="preserve"> (Senior Medical </w:t>
      </w:r>
      <w:r w:rsidR="00F264A0">
        <w:rPr>
          <w:rFonts w:ascii="Arial" w:hAnsi="Arial" w:cs="Arial"/>
        </w:rPr>
        <w:t>staff</w:t>
      </w:r>
      <w:r w:rsidRPr="009123A0">
        <w:rPr>
          <w:rFonts w:ascii="Arial" w:hAnsi="Arial" w:cs="Arial"/>
        </w:rPr>
        <w:t xml:space="preserve">) that are skewing the data when combined with non-medical staff. The effect is simply more extreme when using the mean. </w:t>
      </w:r>
    </w:p>
    <w:p w14:paraId="41B3A439" w14:textId="69D355FB" w:rsidR="000E2EAB" w:rsidRDefault="000E2EAB" w:rsidP="00F96E79">
      <w:pPr>
        <w:jc w:val="both"/>
        <w:rPr>
          <w:rFonts w:ascii="Arial" w:hAnsi="Arial" w:cs="Arial"/>
        </w:rPr>
      </w:pPr>
      <w:r w:rsidRPr="009123A0">
        <w:rPr>
          <w:rFonts w:ascii="Arial" w:hAnsi="Arial" w:cs="Arial"/>
        </w:rPr>
        <w:t xml:space="preserve">The gender composition and pay gaps in each individual band are examined below; for ease of reference, we have highlighted in green where the higher average pay is to be found (male or female cohort). </w:t>
      </w:r>
    </w:p>
    <w:p w14:paraId="23AFFE3E" w14:textId="77777777" w:rsidR="000E2EAB" w:rsidRDefault="000E2EAB" w:rsidP="000E2EAB">
      <w:pPr>
        <w:rPr>
          <w:rFonts w:ascii="Arial" w:hAnsi="Arial" w:cs="Arial"/>
        </w:rPr>
      </w:pPr>
    </w:p>
    <w:tbl>
      <w:tblPr>
        <w:tblW w:w="8526" w:type="dxa"/>
        <w:tblInd w:w="93" w:type="dxa"/>
        <w:tblLook w:val="04A0" w:firstRow="1" w:lastRow="0" w:firstColumn="1" w:lastColumn="0" w:noHBand="0" w:noVBand="1"/>
      </w:tblPr>
      <w:tblGrid>
        <w:gridCol w:w="2504"/>
        <w:gridCol w:w="706"/>
        <w:gridCol w:w="1085"/>
        <w:gridCol w:w="975"/>
        <w:gridCol w:w="1085"/>
        <w:gridCol w:w="1331"/>
        <w:gridCol w:w="950"/>
      </w:tblGrid>
      <w:tr w:rsidR="004618A5" w:rsidRPr="00473C47" w14:paraId="4E3940E3" w14:textId="77777777" w:rsidTr="00EE4D02">
        <w:trPr>
          <w:trHeight w:val="1392"/>
        </w:trPr>
        <w:tc>
          <w:tcPr>
            <w:tcW w:w="2504" w:type="dxa"/>
            <w:tcBorders>
              <w:top w:val="single" w:sz="8" w:space="0" w:color="auto"/>
              <w:left w:val="single" w:sz="8" w:space="0" w:color="auto"/>
              <w:bottom w:val="single" w:sz="8" w:space="0" w:color="auto"/>
              <w:right w:val="single" w:sz="8" w:space="0" w:color="auto"/>
            </w:tcBorders>
            <w:shd w:val="clear" w:color="auto" w:fill="92D050"/>
            <w:vAlign w:val="center"/>
            <w:hideMark/>
          </w:tcPr>
          <w:p w14:paraId="31B95AB4"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Grade</w:t>
            </w:r>
          </w:p>
        </w:tc>
        <w:tc>
          <w:tcPr>
            <w:tcW w:w="706" w:type="dxa"/>
            <w:tcBorders>
              <w:top w:val="single" w:sz="8" w:space="0" w:color="auto"/>
              <w:left w:val="nil"/>
              <w:bottom w:val="single" w:sz="8" w:space="0" w:color="auto"/>
              <w:right w:val="single" w:sz="8" w:space="0" w:color="auto"/>
            </w:tcBorders>
            <w:shd w:val="clear" w:color="auto" w:fill="92D050"/>
            <w:vAlign w:val="center"/>
            <w:hideMark/>
          </w:tcPr>
          <w:p w14:paraId="2ED97E7D"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No. of Male Staff</w:t>
            </w:r>
          </w:p>
        </w:tc>
        <w:tc>
          <w:tcPr>
            <w:tcW w:w="975" w:type="dxa"/>
            <w:tcBorders>
              <w:top w:val="single" w:sz="8" w:space="0" w:color="auto"/>
              <w:left w:val="nil"/>
              <w:bottom w:val="single" w:sz="4" w:space="0" w:color="auto"/>
              <w:right w:val="nil"/>
            </w:tcBorders>
            <w:shd w:val="clear" w:color="auto" w:fill="92D050"/>
            <w:vAlign w:val="center"/>
          </w:tcPr>
          <w:p w14:paraId="36F54C12" w14:textId="448E1FC9"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Male Average Hourly Rate*</w:t>
            </w:r>
          </w:p>
        </w:tc>
        <w:tc>
          <w:tcPr>
            <w:tcW w:w="975" w:type="dxa"/>
            <w:tcBorders>
              <w:top w:val="single" w:sz="8" w:space="0" w:color="auto"/>
              <w:left w:val="nil"/>
              <w:bottom w:val="single" w:sz="8" w:space="0" w:color="auto"/>
              <w:right w:val="single" w:sz="8" w:space="0" w:color="auto"/>
            </w:tcBorders>
            <w:shd w:val="clear" w:color="auto" w:fill="92D050"/>
            <w:vAlign w:val="center"/>
            <w:hideMark/>
          </w:tcPr>
          <w:p w14:paraId="68D645BE" w14:textId="264B6F30"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No. of Female Staff</w:t>
            </w:r>
          </w:p>
        </w:tc>
        <w:tc>
          <w:tcPr>
            <w:tcW w:w="1085" w:type="dxa"/>
            <w:tcBorders>
              <w:top w:val="single" w:sz="8" w:space="0" w:color="auto"/>
              <w:left w:val="nil"/>
              <w:bottom w:val="single" w:sz="8" w:space="0" w:color="auto"/>
              <w:right w:val="single" w:sz="8" w:space="0" w:color="auto"/>
            </w:tcBorders>
            <w:shd w:val="clear" w:color="auto" w:fill="92D050"/>
            <w:vAlign w:val="center"/>
            <w:hideMark/>
          </w:tcPr>
          <w:p w14:paraId="1B4FBB82"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Female Average Hourly Rate*</w:t>
            </w:r>
          </w:p>
        </w:tc>
        <w:tc>
          <w:tcPr>
            <w:tcW w:w="1331" w:type="dxa"/>
            <w:tcBorders>
              <w:top w:val="single" w:sz="8" w:space="0" w:color="auto"/>
              <w:left w:val="nil"/>
              <w:bottom w:val="single" w:sz="8" w:space="0" w:color="auto"/>
              <w:right w:val="single" w:sz="8" w:space="0" w:color="auto"/>
            </w:tcBorders>
            <w:shd w:val="clear" w:color="auto" w:fill="92D050"/>
            <w:vAlign w:val="center"/>
            <w:hideMark/>
          </w:tcPr>
          <w:p w14:paraId="5CD919CE"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Difference</w:t>
            </w:r>
          </w:p>
        </w:tc>
        <w:tc>
          <w:tcPr>
            <w:tcW w:w="950" w:type="dxa"/>
            <w:tcBorders>
              <w:top w:val="single" w:sz="8" w:space="0" w:color="auto"/>
              <w:left w:val="nil"/>
              <w:bottom w:val="single" w:sz="8" w:space="0" w:color="auto"/>
              <w:right w:val="single" w:sz="8" w:space="0" w:color="auto"/>
            </w:tcBorders>
            <w:shd w:val="clear" w:color="auto" w:fill="92D050"/>
            <w:vAlign w:val="center"/>
            <w:hideMark/>
          </w:tcPr>
          <w:p w14:paraId="0FBFDACA" w14:textId="77777777" w:rsidR="004618A5" w:rsidRPr="00473C47" w:rsidRDefault="004618A5" w:rsidP="004618A5">
            <w:pPr>
              <w:spacing w:after="0" w:line="240" w:lineRule="auto"/>
              <w:rPr>
                <w:rFonts w:ascii="Arial" w:eastAsia="Times New Roman" w:hAnsi="Arial" w:cs="Arial"/>
                <w:b/>
                <w:bCs/>
                <w:color w:val="000000"/>
                <w:lang w:eastAsia="en-GB"/>
              </w:rPr>
            </w:pPr>
            <w:r w:rsidRPr="00473C47">
              <w:rPr>
                <w:rFonts w:ascii="Arial" w:eastAsia="Times New Roman" w:hAnsi="Arial" w:cs="Arial"/>
                <w:b/>
                <w:bCs/>
                <w:color w:val="000000"/>
                <w:lang w:eastAsia="en-GB"/>
              </w:rPr>
              <w:t>Gap</w:t>
            </w:r>
          </w:p>
        </w:tc>
      </w:tr>
      <w:tr w:rsidR="004618A5" w:rsidRPr="00473C47" w14:paraId="64A0918C"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057B2593"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Apprentice</w:t>
            </w:r>
          </w:p>
        </w:tc>
        <w:tc>
          <w:tcPr>
            <w:tcW w:w="706" w:type="dxa"/>
            <w:tcBorders>
              <w:top w:val="nil"/>
              <w:left w:val="nil"/>
              <w:bottom w:val="single" w:sz="8" w:space="0" w:color="auto"/>
              <w:right w:val="single" w:sz="4" w:space="0" w:color="auto"/>
            </w:tcBorders>
            <w:shd w:val="clear" w:color="auto" w:fill="auto"/>
            <w:noWrap/>
            <w:vAlign w:val="center"/>
          </w:tcPr>
          <w:p w14:paraId="605D3B76"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3243A2A7" w14:textId="1B664215"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£7.40</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73BF0D82" w14:textId="7B742886"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36</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66BB093E"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£6.23</w:t>
            </w:r>
          </w:p>
        </w:tc>
        <w:tc>
          <w:tcPr>
            <w:tcW w:w="1331" w:type="dxa"/>
            <w:tcBorders>
              <w:top w:val="nil"/>
              <w:left w:val="nil"/>
              <w:bottom w:val="single" w:sz="8" w:space="0" w:color="auto"/>
              <w:right w:val="single" w:sz="8" w:space="0" w:color="auto"/>
            </w:tcBorders>
            <w:shd w:val="clear" w:color="auto" w:fill="auto"/>
            <w:noWrap/>
            <w:vAlign w:val="center"/>
          </w:tcPr>
          <w:p w14:paraId="305E8503"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1.17</w:t>
            </w:r>
          </w:p>
        </w:tc>
        <w:tc>
          <w:tcPr>
            <w:tcW w:w="950" w:type="dxa"/>
            <w:tcBorders>
              <w:top w:val="nil"/>
              <w:left w:val="nil"/>
              <w:bottom w:val="single" w:sz="8" w:space="0" w:color="auto"/>
              <w:right w:val="single" w:sz="8" w:space="0" w:color="auto"/>
            </w:tcBorders>
            <w:shd w:val="clear" w:color="auto" w:fill="auto"/>
            <w:noWrap/>
            <w:vAlign w:val="center"/>
          </w:tcPr>
          <w:p w14:paraId="352196B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15.8%</w:t>
            </w:r>
          </w:p>
        </w:tc>
      </w:tr>
      <w:tr w:rsidR="004618A5" w:rsidRPr="00473C47" w14:paraId="5C9B143F"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7EFC8D3C"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1</w:t>
            </w:r>
          </w:p>
        </w:tc>
        <w:tc>
          <w:tcPr>
            <w:tcW w:w="706" w:type="dxa"/>
            <w:tcBorders>
              <w:top w:val="nil"/>
              <w:left w:val="nil"/>
              <w:bottom w:val="single" w:sz="8" w:space="0" w:color="auto"/>
              <w:right w:val="single" w:sz="4" w:space="0" w:color="auto"/>
            </w:tcBorders>
            <w:shd w:val="clear" w:color="auto" w:fill="auto"/>
            <w:noWrap/>
            <w:vAlign w:val="center"/>
          </w:tcPr>
          <w:p w14:paraId="39C32DC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w:t>
            </w:r>
          </w:p>
        </w:tc>
        <w:tc>
          <w:tcPr>
            <w:tcW w:w="975" w:type="dxa"/>
            <w:tcBorders>
              <w:top w:val="single" w:sz="4" w:space="0" w:color="auto"/>
              <w:left w:val="single" w:sz="4" w:space="0" w:color="auto"/>
              <w:bottom w:val="single" w:sz="4" w:space="0" w:color="auto"/>
              <w:right w:val="single" w:sz="4" w:space="0" w:color="auto"/>
            </w:tcBorders>
            <w:vAlign w:val="center"/>
          </w:tcPr>
          <w:p w14:paraId="59896DE6" w14:textId="3D01CDDC"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£9.48</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0FC03C95" w14:textId="67C3B1D0"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394AC5A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£9.48</w:t>
            </w:r>
          </w:p>
        </w:tc>
        <w:tc>
          <w:tcPr>
            <w:tcW w:w="1331" w:type="dxa"/>
            <w:tcBorders>
              <w:top w:val="nil"/>
              <w:left w:val="nil"/>
              <w:bottom w:val="single" w:sz="8" w:space="0" w:color="auto"/>
              <w:right w:val="single" w:sz="8" w:space="0" w:color="auto"/>
            </w:tcBorders>
            <w:shd w:val="clear" w:color="auto" w:fill="auto"/>
            <w:noWrap/>
            <w:vAlign w:val="center"/>
          </w:tcPr>
          <w:p w14:paraId="048DBB51"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0.00</w:t>
            </w:r>
          </w:p>
        </w:tc>
        <w:tc>
          <w:tcPr>
            <w:tcW w:w="950" w:type="dxa"/>
            <w:tcBorders>
              <w:top w:val="nil"/>
              <w:left w:val="nil"/>
              <w:bottom w:val="single" w:sz="8" w:space="0" w:color="auto"/>
              <w:right w:val="single" w:sz="8" w:space="0" w:color="auto"/>
            </w:tcBorders>
            <w:shd w:val="clear" w:color="auto" w:fill="auto"/>
            <w:noWrap/>
            <w:vAlign w:val="center"/>
          </w:tcPr>
          <w:p w14:paraId="4C57BA83"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0.00%</w:t>
            </w:r>
          </w:p>
        </w:tc>
      </w:tr>
      <w:tr w:rsidR="004618A5" w:rsidRPr="00473C47" w14:paraId="2526B635"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44649ADD"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2</w:t>
            </w:r>
          </w:p>
        </w:tc>
        <w:tc>
          <w:tcPr>
            <w:tcW w:w="706" w:type="dxa"/>
            <w:tcBorders>
              <w:top w:val="nil"/>
              <w:left w:val="nil"/>
              <w:bottom w:val="single" w:sz="8" w:space="0" w:color="auto"/>
              <w:right w:val="single" w:sz="4" w:space="0" w:color="auto"/>
            </w:tcBorders>
            <w:shd w:val="clear" w:color="auto" w:fill="auto"/>
            <w:noWrap/>
            <w:vAlign w:val="center"/>
          </w:tcPr>
          <w:p w14:paraId="6295F24A"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258</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1947189F" w14:textId="09434D89"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£12.07</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2D7CF134" w14:textId="0849FBA2"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1303</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41E1F454"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£12.04</w:t>
            </w:r>
          </w:p>
        </w:tc>
        <w:tc>
          <w:tcPr>
            <w:tcW w:w="1331" w:type="dxa"/>
            <w:tcBorders>
              <w:top w:val="nil"/>
              <w:left w:val="nil"/>
              <w:bottom w:val="single" w:sz="8" w:space="0" w:color="auto"/>
              <w:right w:val="single" w:sz="8" w:space="0" w:color="auto"/>
            </w:tcBorders>
            <w:shd w:val="clear" w:color="auto" w:fill="auto"/>
            <w:noWrap/>
            <w:vAlign w:val="center"/>
          </w:tcPr>
          <w:p w14:paraId="1467060C"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0.03</w:t>
            </w:r>
          </w:p>
        </w:tc>
        <w:tc>
          <w:tcPr>
            <w:tcW w:w="950" w:type="dxa"/>
            <w:tcBorders>
              <w:top w:val="nil"/>
              <w:left w:val="nil"/>
              <w:bottom w:val="single" w:sz="8" w:space="0" w:color="auto"/>
              <w:right w:val="single" w:sz="8" w:space="0" w:color="auto"/>
            </w:tcBorders>
            <w:shd w:val="clear" w:color="auto" w:fill="auto"/>
            <w:noWrap/>
            <w:vAlign w:val="center"/>
          </w:tcPr>
          <w:p w14:paraId="4F5FB16E"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0.25%</w:t>
            </w:r>
          </w:p>
        </w:tc>
      </w:tr>
      <w:tr w:rsidR="004618A5" w:rsidRPr="00473C47" w14:paraId="76F59CFC"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5928E2A6"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3</w:t>
            </w:r>
          </w:p>
        </w:tc>
        <w:tc>
          <w:tcPr>
            <w:tcW w:w="706" w:type="dxa"/>
            <w:tcBorders>
              <w:top w:val="nil"/>
              <w:left w:val="nil"/>
              <w:bottom w:val="single" w:sz="8" w:space="0" w:color="auto"/>
              <w:right w:val="single" w:sz="4" w:space="0" w:color="auto"/>
            </w:tcBorders>
            <w:shd w:val="clear" w:color="auto" w:fill="auto"/>
            <w:noWrap/>
            <w:vAlign w:val="center"/>
          </w:tcPr>
          <w:p w14:paraId="108BDA84"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94</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228CC636" w14:textId="760247B9"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£11.16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604AB61E" w14:textId="57884A07"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756</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157AE990"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£11.11</w:t>
            </w:r>
          </w:p>
        </w:tc>
        <w:tc>
          <w:tcPr>
            <w:tcW w:w="1331" w:type="dxa"/>
            <w:tcBorders>
              <w:top w:val="nil"/>
              <w:left w:val="nil"/>
              <w:bottom w:val="single" w:sz="8" w:space="0" w:color="auto"/>
              <w:right w:val="single" w:sz="8" w:space="0" w:color="auto"/>
            </w:tcBorders>
            <w:shd w:val="clear" w:color="auto" w:fill="auto"/>
            <w:noWrap/>
            <w:vAlign w:val="center"/>
          </w:tcPr>
          <w:p w14:paraId="275EE645"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0.6</w:t>
            </w:r>
          </w:p>
        </w:tc>
        <w:tc>
          <w:tcPr>
            <w:tcW w:w="950" w:type="dxa"/>
            <w:tcBorders>
              <w:top w:val="nil"/>
              <w:left w:val="nil"/>
              <w:bottom w:val="single" w:sz="8" w:space="0" w:color="auto"/>
              <w:right w:val="single" w:sz="8" w:space="0" w:color="auto"/>
            </w:tcBorders>
            <w:shd w:val="clear" w:color="auto" w:fill="auto"/>
            <w:noWrap/>
            <w:vAlign w:val="center"/>
          </w:tcPr>
          <w:p w14:paraId="7EB4BE4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5.4%</w:t>
            </w:r>
          </w:p>
        </w:tc>
      </w:tr>
      <w:tr w:rsidR="004618A5" w:rsidRPr="00473C47" w14:paraId="1877FE97"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47946A0E"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4</w:t>
            </w:r>
          </w:p>
        </w:tc>
        <w:tc>
          <w:tcPr>
            <w:tcW w:w="706" w:type="dxa"/>
            <w:tcBorders>
              <w:top w:val="nil"/>
              <w:left w:val="nil"/>
              <w:bottom w:val="single" w:sz="8" w:space="0" w:color="auto"/>
              <w:right w:val="single" w:sz="4" w:space="0" w:color="auto"/>
            </w:tcBorders>
            <w:shd w:val="clear" w:color="auto" w:fill="auto"/>
            <w:noWrap/>
            <w:vAlign w:val="center"/>
          </w:tcPr>
          <w:p w14:paraId="23B57454"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56</w:t>
            </w:r>
          </w:p>
        </w:tc>
        <w:tc>
          <w:tcPr>
            <w:tcW w:w="975" w:type="dxa"/>
            <w:tcBorders>
              <w:top w:val="single" w:sz="4" w:space="0" w:color="auto"/>
              <w:left w:val="single" w:sz="4" w:space="0" w:color="auto"/>
              <w:bottom w:val="single" w:sz="4" w:space="0" w:color="auto"/>
              <w:right w:val="single" w:sz="4" w:space="0" w:color="auto"/>
            </w:tcBorders>
            <w:vAlign w:val="center"/>
          </w:tcPr>
          <w:p w14:paraId="53723CFD" w14:textId="508684EF"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£12.23</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033C7ACF" w14:textId="0D9CCD07"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392</w:t>
            </w:r>
          </w:p>
        </w:tc>
        <w:tc>
          <w:tcPr>
            <w:tcW w:w="1085" w:type="dxa"/>
            <w:tcBorders>
              <w:top w:val="nil"/>
              <w:left w:val="nil"/>
              <w:bottom w:val="single" w:sz="8" w:space="0" w:color="auto"/>
              <w:right w:val="single" w:sz="8" w:space="0" w:color="auto"/>
            </w:tcBorders>
            <w:shd w:val="clear" w:color="auto" w:fill="92D050"/>
            <w:noWrap/>
            <w:vAlign w:val="center"/>
          </w:tcPr>
          <w:p w14:paraId="2D062A9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£12.37</w:t>
            </w:r>
          </w:p>
        </w:tc>
        <w:tc>
          <w:tcPr>
            <w:tcW w:w="1331" w:type="dxa"/>
            <w:tcBorders>
              <w:top w:val="nil"/>
              <w:left w:val="nil"/>
              <w:bottom w:val="single" w:sz="8" w:space="0" w:color="auto"/>
              <w:right w:val="single" w:sz="8" w:space="0" w:color="auto"/>
            </w:tcBorders>
            <w:shd w:val="clear" w:color="auto" w:fill="auto"/>
            <w:noWrap/>
            <w:vAlign w:val="center"/>
          </w:tcPr>
          <w:p w14:paraId="609D7B3C"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0.14</w:t>
            </w:r>
          </w:p>
        </w:tc>
        <w:tc>
          <w:tcPr>
            <w:tcW w:w="950" w:type="dxa"/>
            <w:tcBorders>
              <w:top w:val="nil"/>
              <w:left w:val="nil"/>
              <w:bottom w:val="single" w:sz="8" w:space="0" w:color="auto"/>
              <w:right w:val="single" w:sz="8" w:space="0" w:color="auto"/>
            </w:tcBorders>
            <w:shd w:val="clear" w:color="auto" w:fill="auto"/>
            <w:noWrap/>
            <w:vAlign w:val="center"/>
          </w:tcPr>
          <w:p w14:paraId="148DA177"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-1.14%</w:t>
            </w:r>
          </w:p>
        </w:tc>
      </w:tr>
      <w:tr w:rsidR="004618A5" w:rsidRPr="00473C47" w14:paraId="6111365A"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4E6EAEB6"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5</w:t>
            </w:r>
          </w:p>
        </w:tc>
        <w:tc>
          <w:tcPr>
            <w:tcW w:w="706" w:type="dxa"/>
            <w:tcBorders>
              <w:top w:val="nil"/>
              <w:left w:val="nil"/>
              <w:bottom w:val="single" w:sz="8" w:space="0" w:color="auto"/>
              <w:right w:val="single" w:sz="4" w:space="0" w:color="auto"/>
            </w:tcBorders>
            <w:shd w:val="clear" w:color="auto" w:fill="auto"/>
            <w:noWrap/>
            <w:vAlign w:val="center"/>
          </w:tcPr>
          <w:p w14:paraId="07315D61"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246</w:t>
            </w:r>
          </w:p>
        </w:tc>
        <w:tc>
          <w:tcPr>
            <w:tcW w:w="975" w:type="dxa"/>
            <w:tcBorders>
              <w:top w:val="single" w:sz="4" w:space="0" w:color="auto"/>
              <w:left w:val="single" w:sz="4" w:space="0" w:color="auto"/>
              <w:bottom w:val="single" w:sz="4" w:space="0" w:color="auto"/>
              <w:right w:val="single" w:sz="4" w:space="0" w:color="auto"/>
            </w:tcBorders>
            <w:vAlign w:val="center"/>
          </w:tcPr>
          <w:p w14:paraId="26EAEF02" w14:textId="53A6A10F"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£16.72</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0BD7FCE0" w14:textId="609A9FA2"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1508</w:t>
            </w:r>
          </w:p>
        </w:tc>
        <w:tc>
          <w:tcPr>
            <w:tcW w:w="1085" w:type="dxa"/>
            <w:tcBorders>
              <w:top w:val="nil"/>
              <w:left w:val="nil"/>
              <w:bottom w:val="single" w:sz="8" w:space="0" w:color="auto"/>
              <w:right w:val="single" w:sz="8" w:space="0" w:color="auto"/>
            </w:tcBorders>
            <w:shd w:val="clear" w:color="auto" w:fill="92D050"/>
            <w:noWrap/>
            <w:vAlign w:val="center"/>
          </w:tcPr>
          <w:p w14:paraId="20BD5576"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£17.87</w:t>
            </w:r>
          </w:p>
        </w:tc>
        <w:tc>
          <w:tcPr>
            <w:tcW w:w="1331" w:type="dxa"/>
            <w:tcBorders>
              <w:top w:val="nil"/>
              <w:left w:val="nil"/>
              <w:bottom w:val="single" w:sz="8" w:space="0" w:color="auto"/>
              <w:right w:val="single" w:sz="8" w:space="0" w:color="auto"/>
            </w:tcBorders>
            <w:shd w:val="clear" w:color="auto" w:fill="auto"/>
            <w:noWrap/>
            <w:vAlign w:val="center"/>
          </w:tcPr>
          <w:p w14:paraId="1A845853"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1.15</w:t>
            </w:r>
          </w:p>
        </w:tc>
        <w:tc>
          <w:tcPr>
            <w:tcW w:w="950" w:type="dxa"/>
            <w:tcBorders>
              <w:top w:val="nil"/>
              <w:left w:val="nil"/>
              <w:bottom w:val="single" w:sz="8" w:space="0" w:color="auto"/>
              <w:right w:val="single" w:sz="8" w:space="0" w:color="auto"/>
            </w:tcBorders>
            <w:shd w:val="clear" w:color="auto" w:fill="auto"/>
            <w:noWrap/>
            <w:vAlign w:val="center"/>
          </w:tcPr>
          <w:p w14:paraId="623D346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- 6.9%</w:t>
            </w:r>
          </w:p>
        </w:tc>
      </w:tr>
      <w:tr w:rsidR="004618A5" w:rsidRPr="00473C47" w14:paraId="43E57872"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6C5F0517"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6</w:t>
            </w:r>
          </w:p>
        </w:tc>
        <w:tc>
          <w:tcPr>
            <w:tcW w:w="706" w:type="dxa"/>
            <w:tcBorders>
              <w:top w:val="nil"/>
              <w:left w:val="nil"/>
              <w:bottom w:val="single" w:sz="8" w:space="0" w:color="auto"/>
              <w:right w:val="single" w:sz="4" w:space="0" w:color="auto"/>
            </w:tcBorders>
            <w:shd w:val="clear" w:color="auto" w:fill="auto"/>
            <w:noWrap/>
            <w:vAlign w:val="center"/>
          </w:tcPr>
          <w:p w14:paraId="145340DD"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154</w:t>
            </w:r>
          </w:p>
        </w:tc>
        <w:tc>
          <w:tcPr>
            <w:tcW w:w="975" w:type="dxa"/>
            <w:tcBorders>
              <w:top w:val="single" w:sz="4" w:space="0" w:color="auto"/>
              <w:left w:val="single" w:sz="4" w:space="0" w:color="auto"/>
              <w:bottom w:val="single" w:sz="4" w:space="0" w:color="auto"/>
              <w:right w:val="single" w:sz="4" w:space="0" w:color="auto"/>
            </w:tcBorders>
            <w:vAlign w:val="center"/>
          </w:tcPr>
          <w:p w14:paraId="2FF27557" w14:textId="3A7DAD4B"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£18.66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58EC1B5A" w14:textId="1DDFDB72"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1092</w:t>
            </w:r>
          </w:p>
        </w:tc>
        <w:tc>
          <w:tcPr>
            <w:tcW w:w="1085" w:type="dxa"/>
            <w:tcBorders>
              <w:top w:val="nil"/>
              <w:left w:val="nil"/>
              <w:bottom w:val="single" w:sz="8" w:space="0" w:color="auto"/>
              <w:right w:val="single" w:sz="8" w:space="0" w:color="auto"/>
            </w:tcBorders>
            <w:shd w:val="clear" w:color="auto" w:fill="92D050"/>
            <w:noWrap/>
            <w:vAlign w:val="center"/>
          </w:tcPr>
          <w:p w14:paraId="22FD67F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£19.64</w:t>
            </w:r>
          </w:p>
        </w:tc>
        <w:tc>
          <w:tcPr>
            <w:tcW w:w="1331" w:type="dxa"/>
            <w:tcBorders>
              <w:top w:val="nil"/>
              <w:left w:val="nil"/>
              <w:bottom w:val="single" w:sz="8" w:space="0" w:color="auto"/>
              <w:right w:val="single" w:sz="8" w:space="0" w:color="auto"/>
            </w:tcBorders>
            <w:shd w:val="clear" w:color="auto" w:fill="auto"/>
            <w:noWrap/>
            <w:vAlign w:val="center"/>
          </w:tcPr>
          <w:p w14:paraId="6E8B066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0.98</w:t>
            </w:r>
          </w:p>
        </w:tc>
        <w:tc>
          <w:tcPr>
            <w:tcW w:w="950" w:type="dxa"/>
            <w:tcBorders>
              <w:top w:val="nil"/>
              <w:left w:val="nil"/>
              <w:bottom w:val="single" w:sz="8" w:space="0" w:color="auto"/>
              <w:right w:val="single" w:sz="8" w:space="0" w:color="auto"/>
            </w:tcBorders>
            <w:shd w:val="clear" w:color="auto" w:fill="auto"/>
            <w:noWrap/>
            <w:vAlign w:val="center"/>
          </w:tcPr>
          <w:p w14:paraId="6682D2F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-5.25%</w:t>
            </w:r>
          </w:p>
        </w:tc>
      </w:tr>
      <w:tr w:rsidR="004618A5" w:rsidRPr="00473C47" w14:paraId="7130AA48"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554A9843"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7</w:t>
            </w:r>
          </w:p>
        </w:tc>
        <w:tc>
          <w:tcPr>
            <w:tcW w:w="706" w:type="dxa"/>
            <w:tcBorders>
              <w:top w:val="nil"/>
              <w:left w:val="nil"/>
              <w:bottom w:val="single" w:sz="8" w:space="0" w:color="auto"/>
              <w:right w:val="single" w:sz="4" w:space="0" w:color="auto"/>
            </w:tcBorders>
            <w:shd w:val="clear" w:color="auto" w:fill="auto"/>
            <w:noWrap/>
            <w:vAlign w:val="center"/>
          </w:tcPr>
          <w:p w14:paraId="29C01CEE"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103</w:t>
            </w:r>
          </w:p>
        </w:tc>
        <w:tc>
          <w:tcPr>
            <w:tcW w:w="975" w:type="dxa"/>
            <w:tcBorders>
              <w:top w:val="single" w:sz="4" w:space="0" w:color="auto"/>
              <w:left w:val="single" w:sz="4" w:space="0" w:color="auto"/>
              <w:bottom w:val="single" w:sz="4" w:space="0" w:color="auto"/>
              <w:right w:val="single" w:sz="4" w:space="0" w:color="auto"/>
            </w:tcBorders>
            <w:vAlign w:val="center"/>
          </w:tcPr>
          <w:p w14:paraId="373371EC" w14:textId="026DDEDB"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£22.36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4A22A117" w14:textId="038C44AE"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524</w:t>
            </w:r>
          </w:p>
        </w:tc>
        <w:tc>
          <w:tcPr>
            <w:tcW w:w="1085" w:type="dxa"/>
            <w:tcBorders>
              <w:top w:val="nil"/>
              <w:left w:val="nil"/>
              <w:bottom w:val="single" w:sz="8" w:space="0" w:color="auto"/>
              <w:right w:val="single" w:sz="8" w:space="0" w:color="auto"/>
            </w:tcBorders>
            <w:shd w:val="clear" w:color="auto" w:fill="92D050"/>
            <w:noWrap/>
            <w:vAlign w:val="center"/>
          </w:tcPr>
          <w:p w14:paraId="3FD6DA87"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£22.53</w:t>
            </w:r>
          </w:p>
        </w:tc>
        <w:tc>
          <w:tcPr>
            <w:tcW w:w="1331" w:type="dxa"/>
            <w:tcBorders>
              <w:top w:val="nil"/>
              <w:left w:val="nil"/>
              <w:bottom w:val="single" w:sz="8" w:space="0" w:color="auto"/>
              <w:right w:val="single" w:sz="8" w:space="0" w:color="auto"/>
            </w:tcBorders>
            <w:shd w:val="clear" w:color="auto" w:fill="auto"/>
            <w:noWrap/>
            <w:vAlign w:val="center"/>
          </w:tcPr>
          <w:p w14:paraId="308A3BF2"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0.17</w:t>
            </w:r>
          </w:p>
        </w:tc>
        <w:tc>
          <w:tcPr>
            <w:tcW w:w="950" w:type="dxa"/>
            <w:tcBorders>
              <w:top w:val="nil"/>
              <w:left w:val="nil"/>
              <w:bottom w:val="single" w:sz="8" w:space="0" w:color="auto"/>
              <w:right w:val="single" w:sz="8" w:space="0" w:color="auto"/>
            </w:tcBorders>
            <w:shd w:val="clear" w:color="auto" w:fill="auto"/>
            <w:noWrap/>
            <w:vAlign w:val="center"/>
          </w:tcPr>
          <w:p w14:paraId="422A70A8"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-0.76%</w:t>
            </w:r>
          </w:p>
        </w:tc>
      </w:tr>
      <w:tr w:rsidR="004618A5" w:rsidRPr="00473C47" w14:paraId="0E19E3DB"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73017068"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8a</w:t>
            </w:r>
          </w:p>
        </w:tc>
        <w:tc>
          <w:tcPr>
            <w:tcW w:w="706" w:type="dxa"/>
            <w:tcBorders>
              <w:top w:val="nil"/>
              <w:left w:val="nil"/>
              <w:bottom w:val="single" w:sz="8" w:space="0" w:color="auto"/>
              <w:right w:val="single" w:sz="4" w:space="0" w:color="auto"/>
            </w:tcBorders>
            <w:shd w:val="clear" w:color="auto" w:fill="auto"/>
            <w:noWrap/>
            <w:vAlign w:val="center"/>
          </w:tcPr>
          <w:p w14:paraId="1942477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50</w:t>
            </w:r>
          </w:p>
        </w:tc>
        <w:tc>
          <w:tcPr>
            <w:tcW w:w="975" w:type="dxa"/>
            <w:tcBorders>
              <w:top w:val="single" w:sz="4" w:space="0" w:color="auto"/>
              <w:left w:val="single" w:sz="4" w:space="0" w:color="auto"/>
              <w:bottom w:val="single" w:sz="4" w:space="0" w:color="auto"/>
              <w:right w:val="single" w:sz="4" w:space="0" w:color="auto"/>
            </w:tcBorders>
            <w:vAlign w:val="center"/>
          </w:tcPr>
          <w:p w14:paraId="41F56BDB" w14:textId="4C0B2B69"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£25.26</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1EBD23B6" w14:textId="4BA632BD"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153</w:t>
            </w:r>
          </w:p>
        </w:tc>
        <w:tc>
          <w:tcPr>
            <w:tcW w:w="1085" w:type="dxa"/>
            <w:tcBorders>
              <w:top w:val="nil"/>
              <w:left w:val="nil"/>
              <w:bottom w:val="single" w:sz="8" w:space="0" w:color="auto"/>
              <w:right w:val="single" w:sz="8" w:space="0" w:color="auto"/>
            </w:tcBorders>
            <w:shd w:val="clear" w:color="auto" w:fill="92D050"/>
            <w:noWrap/>
            <w:vAlign w:val="center"/>
          </w:tcPr>
          <w:p w14:paraId="4A162778"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£25.64</w:t>
            </w:r>
          </w:p>
        </w:tc>
        <w:tc>
          <w:tcPr>
            <w:tcW w:w="1331" w:type="dxa"/>
            <w:tcBorders>
              <w:top w:val="nil"/>
              <w:left w:val="nil"/>
              <w:bottom w:val="single" w:sz="8" w:space="0" w:color="auto"/>
              <w:right w:val="single" w:sz="8" w:space="0" w:color="auto"/>
            </w:tcBorders>
            <w:shd w:val="clear" w:color="auto" w:fill="auto"/>
            <w:noWrap/>
            <w:vAlign w:val="center"/>
          </w:tcPr>
          <w:p w14:paraId="4EF4F904"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0.38</w:t>
            </w:r>
          </w:p>
        </w:tc>
        <w:tc>
          <w:tcPr>
            <w:tcW w:w="950" w:type="dxa"/>
            <w:tcBorders>
              <w:top w:val="nil"/>
              <w:left w:val="nil"/>
              <w:bottom w:val="single" w:sz="8" w:space="0" w:color="auto"/>
              <w:right w:val="single" w:sz="8" w:space="0" w:color="auto"/>
            </w:tcBorders>
            <w:shd w:val="clear" w:color="auto" w:fill="auto"/>
            <w:noWrap/>
            <w:vAlign w:val="center"/>
          </w:tcPr>
          <w:p w14:paraId="2701E0CD"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-1.5%</w:t>
            </w:r>
          </w:p>
        </w:tc>
      </w:tr>
      <w:tr w:rsidR="004618A5" w:rsidRPr="00473C47" w14:paraId="409669D5"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1246F1B3"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8b</w:t>
            </w:r>
          </w:p>
        </w:tc>
        <w:tc>
          <w:tcPr>
            <w:tcW w:w="706" w:type="dxa"/>
            <w:tcBorders>
              <w:top w:val="nil"/>
              <w:left w:val="nil"/>
              <w:bottom w:val="single" w:sz="8" w:space="0" w:color="auto"/>
              <w:right w:val="single" w:sz="4" w:space="0" w:color="auto"/>
            </w:tcBorders>
            <w:shd w:val="clear" w:color="auto" w:fill="auto"/>
            <w:noWrap/>
            <w:vAlign w:val="center"/>
          </w:tcPr>
          <w:p w14:paraId="46B308CA"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30</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0E35DA37" w14:textId="638D294C"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£30.28</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5D650007" w14:textId="7F37794F"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51</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669B981F"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£29.68</w:t>
            </w:r>
          </w:p>
        </w:tc>
        <w:tc>
          <w:tcPr>
            <w:tcW w:w="1331" w:type="dxa"/>
            <w:tcBorders>
              <w:top w:val="nil"/>
              <w:left w:val="nil"/>
              <w:bottom w:val="single" w:sz="8" w:space="0" w:color="auto"/>
              <w:right w:val="single" w:sz="8" w:space="0" w:color="auto"/>
            </w:tcBorders>
            <w:shd w:val="clear" w:color="auto" w:fill="auto"/>
            <w:noWrap/>
            <w:vAlign w:val="center"/>
          </w:tcPr>
          <w:p w14:paraId="7A27D43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0.6</w:t>
            </w:r>
          </w:p>
        </w:tc>
        <w:tc>
          <w:tcPr>
            <w:tcW w:w="950" w:type="dxa"/>
            <w:tcBorders>
              <w:top w:val="nil"/>
              <w:left w:val="nil"/>
              <w:bottom w:val="single" w:sz="8" w:space="0" w:color="auto"/>
              <w:right w:val="single" w:sz="8" w:space="0" w:color="auto"/>
            </w:tcBorders>
            <w:shd w:val="clear" w:color="auto" w:fill="auto"/>
            <w:noWrap/>
            <w:vAlign w:val="center"/>
          </w:tcPr>
          <w:p w14:paraId="65065FCF" w14:textId="77777777" w:rsidR="004618A5" w:rsidRPr="00473C47" w:rsidRDefault="004618A5" w:rsidP="004618A5">
            <w:pPr>
              <w:spacing w:after="0" w:line="240" w:lineRule="auto"/>
              <w:jc w:val="center"/>
              <w:rPr>
                <w:rFonts w:ascii="Arial" w:eastAsia="Times New Roman" w:hAnsi="Arial" w:cs="Arial"/>
                <w:lang w:eastAsia="en-GB"/>
              </w:rPr>
            </w:pPr>
            <w:r>
              <w:rPr>
                <w:rFonts w:ascii="Arial" w:eastAsia="Times New Roman" w:hAnsi="Arial" w:cs="Arial"/>
                <w:lang w:eastAsia="en-GB"/>
              </w:rPr>
              <w:t>1.9%</w:t>
            </w:r>
          </w:p>
        </w:tc>
      </w:tr>
      <w:tr w:rsidR="004618A5" w:rsidRPr="00473C47" w14:paraId="208E37B1"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6566DDDA"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8c</w:t>
            </w:r>
          </w:p>
        </w:tc>
        <w:tc>
          <w:tcPr>
            <w:tcW w:w="706" w:type="dxa"/>
            <w:tcBorders>
              <w:top w:val="nil"/>
              <w:left w:val="nil"/>
              <w:bottom w:val="single" w:sz="8" w:space="0" w:color="auto"/>
              <w:right w:val="single" w:sz="4" w:space="0" w:color="auto"/>
            </w:tcBorders>
            <w:shd w:val="clear" w:color="auto" w:fill="auto"/>
            <w:noWrap/>
            <w:vAlign w:val="center"/>
          </w:tcPr>
          <w:p w14:paraId="3659ED5B" w14:textId="77777777"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14</w:t>
            </w:r>
          </w:p>
        </w:tc>
        <w:tc>
          <w:tcPr>
            <w:tcW w:w="975" w:type="dxa"/>
            <w:tcBorders>
              <w:top w:val="single" w:sz="4" w:space="0" w:color="auto"/>
              <w:left w:val="single" w:sz="4" w:space="0" w:color="auto"/>
              <w:bottom w:val="single" w:sz="4" w:space="0" w:color="auto"/>
              <w:right w:val="single" w:sz="4" w:space="0" w:color="auto"/>
            </w:tcBorders>
            <w:vAlign w:val="center"/>
          </w:tcPr>
          <w:p w14:paraId="2082F11B" w14:textId="39762466"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£35.63</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32F38AE2" w14:textId="4301360A"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21</w:t>
            </w:r>
          </w:p>
        </w:tc>
        <w:tc>
          <w:tcPr>
            <w:tcW w:w="1085" w:type="dxa"/>
            <w:tcBorders>
              <w:top w:val="nil"/>
              <w:left w:val="nil"/>
              <w:bottom w:val="single" w:sz="8" w:space="0" w:color="auto"/>
              <w:right w:val="single" w:sz="8" w:space="0" w:color="auto"/>
            </w:tcBorders>
            <w:shd w:val="clear" w:color="auto" w:fill="92D050"/>
            <w:noWrap/>
            <w:vAlign w:val="center"/>
          </w:tcPr>
          <w:p w14:paraId="2EEB3E8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£35.80</w:t>
            </w:r>
          </w:p>
        </w:tc>
        <w:tc>
          <w:tcPr>
            <w:tcW w:w="1331" w:type="dxa"/>
            <w:tcBorders>
              <w:top w:val="nil"/>
              <w:left w:val="nil"/>
              <w:bottom w:val="single" w:sz="8" w:space="0" w:color="auto"/>
              <w:right w:val="single" w:sz="8" w:space="0" w:color="auto"/>
            </w:tcBorders>
            <w:shd w:val="clear" w:color="auto" w:fill="auto"/>
            <w:noWrap/>
            <w:vAlign w:val="center"/>
          </w:tcPr>
          <w:p w14:paraId="11CACB4A"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0.17</w:t>
            </w:r>
          </w:p>
        </w:tc>
        <w:tc>
          <w:tcPr>
            <w:tcW w:w="950" w:type="dxa"/>
            <w:tcBorders>
              <w:top w:val="nil"/>
              <w:left w:val="nil"/>
              <w:bottom w:val="single" w:sz="8" w:space="0" w:color="auto"/>
              <w:right w:val="single" w:sz="8" w:space="0" w:color="auto"/>
            </w:tcBorders>
            <w:shd w:val="clear" w:color="auto" w:fill="auto"/>
            <w:noWrap/>
            <w:vAlign w:val="center"/>
          </w:tcPr>
          <w:p w14:paraId="2BE58E3B" w14:textId="77777777" w:rsidR="004618A5" w:rsidRPr="00473C47" w:rsidRDefault="004618A5" w:rsidP="004618A5">
            <w:pPr>
              <w:spacing w:after="0" w:line="240" w:lineRule="auto"/>
              <w:jc w:val="center"/>
              <w:rPr>
                <w:rFonts w:ascii="Arial" w:eastAsia="Times New Roman" w:hAnsi="Arial" w:cs="Arial"/>
                <w:color w:val="FF0000"/>
                <w:lang w:eastAsia="en-GB"/>
              </w:rPr>
            </w:pPr>
            <w:r>
              <w:rPr>
                <w:rFonts w:ascii="Arial" w:eastAsia="Times New Roman" w:hAnsi="Arial" w:cs="Arial"/>
                <w:color w:val="FF0000"/>
                <w:lang w:eastAsia="en-GB"/>
              </w:rPr>
              <w:t>-0.5%</w:t>
            </w:r>
          </w:p>
        </w:tc>
      </w:tr>
      <w:tr w:rsidR="004618A5" w:rsidRPr="00473C47" w14:paraId="6CD041B3"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0AFB3501"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8d</w:t>
            </w:r>
          </w:p>
        </w:tc>
        <w:tc>
          <w:tcPr>
            <w:tcW w:w="706" w:type="dxa"/>
            <w:tcBorders>
              <w:top w:val="nil"/>
              <w:left w:val="nil"/>
              <w:bottom w:val="single" w:sz="8" w:space="0" w:color="auto"/>
              <w:right w:val="single" w:sz="4" w:space="0" w:color="auto"/>
            </w:tcBorders>
            <w:shd w:val="clear" w:color="auto" w:fill="auto"/>
            <w:noWrap/>
            <w:vAlign w:val="center"/>
          </w:tcPr>
          <w:p w14:paraId="622D2793" w14:textId="77777777"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043072B" w14:textId="045F2417"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£38.17</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795425CA" w14:textId="5A68599F"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20</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61E8FC58"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£36.39</w:t>
            </w:r>
          </w:p>
        </w:tc>
        <w:tc>
          <w:tcPr>
            <w:tcW w:w="1331" w:type="dxa"/>
            <w:tcBorders>
              <w:top w:val="nil"/>
              <w:left w:val="nil"/>
              <w:bottom w:val="single" w:sz="8" w:space="0" w:color="auto"/>
              <w:right w:val="single" w:sz="8" w:space="0" w:color="auto"/>
            </w:tcBorders>
            <w:shd w:val="clear" w:color="auto" w:fill="auto"/>
            <w:noWrap/>
            <w:vAlign w:val="center"/>
          </w:tcPr>
          <w:p w14:paraId="42259DD3"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1.78</w:t>
            </w:r>
          </w:p>
        </w:tc>
        <w:tc>
          <w:tcPr>
            <w:tcW w:w="950" w:type="dxa"/>
            <w:tcBorders>
              <w:top w:val="nil"/>
              <w:left w:val="nil"/>
              <w:bottom w:val="single" w:sz="8" w:space="0" w:color="auto"/>
              <w:right w:val="single" w:sz="8" w:space="0" w:color="auto"/>
            </w:tcBorders>
            <w:shd w:val="clear" w:color="auto" w:fill="auto"/>
            <w:noWrap/>
            <w:vAlign w:val="center"/>
          </w:tcPr>
          <w:p w14:paraId="38248A0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4.6%</w:t>
            </w:r>
          </w:p>
        </w:tc>
      </w:tr>
      <w:tr w:rsidR="004618A5" w:rsidRPr="00473C47" w14:paraId="74B42D8C" w14:textId="77777777" w:rsidTr="00EE4D02">
        <w:trPr>
          <w:trHeight w:val="300"/>
        </w:trPr>
        <w:tc>
          <w:tcPr>
            <w:tcW w:w="2504" w:type="dxa"/>
            <w:tcBorders>
              <w:top w:val="nil"/>
              <w:left w:val="single" w:sz="8" w:space="0" w:color="auto"/>
              <w:bottom w:val="single" w:sz="8" w:space="0" w:color="auto"/>
              <w:right w:val="single" w:sz="8" w:space="0" w:color="auto"/>
            </w:tcBorders>
            <w:shd w:val="clear" w:color="auto" w:fill="auto"/>
            <w:noWrap/>
            <w:vAlign w:val="center"/>
            <w:hideMark/>
          </w:tcPr>
          <w:p w14:paraId="0C756658" w14:textId="77777777" w:rsidR="004618A5" w:rsidRPr="00473C47"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Band 9</w:t>
            </w:r>
          </w:p>
        </w:tc>
        <w:tc>
          <w:tcPr>
            <w:tcW w:w="706" w:type="dxa"/>
            <w:tcBorders>
              <w:top w:val="nil"/>
              <w:left w:val="nil"/>
              <w:bottom w:val="single" w:sz="8" w:space="0" w:color="auto"/>
              <w:right w:val="single" w:sz="4" w:space="0" w:color="auto"/>
            </w:tcBorders>
            <w:shd w:val="clear" w:color="auto" w:fill="auto"/>
            <w:noWrap/>
            <w:vAlign w:val="center"/>
          </w:tcPr>
          <w:p w14:paraId="0EE3EA41" w14:textId="77777777"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2D0A8532" w14:textId="50F84153" w:rsidR="004618A5"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£52.00</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589E8080" w14:textId="5676F7BA"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w:t>
            </w:r>
          </w:p>
        </w:tc>
        <w:tc>
          <w:tcPr>
            <w:tcW w:w="1085" w:type="dxa"/>
            <w:tcBorders>
              <w:top w:val="nil"/>
              <w:left w:val="nil"/>
              <w:bottom w:val="single" w:sz="8" w:space="0" w:color="auto"/>
              <w:right w:val="single" w:sz="8" w:space="0" w:color="auto"/>
            </w:tcBorders>
            <w:shd w:val="clear" w:color="auto" w:fill="FFFFFF" w:themeFill="background1"/>
            <w:noWrap/>
            <w:vAlign w:val="center"/>
          </w:tcPr>
          <w:p w14:paraId="5199EF5C"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£47.94</w:t>
            </w:r>
          </w:p>
        </w:tc>
        <w:tc>
          <w:tcPr>
            <w:tcW w:w="1331" w:type="dxa"/>
            <w:tcBorders>
              <w:top w:val="nil"/>
              <w:left w:val="nil"/>
              <w:bottom w:val="single" w:sz="8" w:space="0" w:color="auto"/>
              <w:right w:val="single" w:sz="8" w:space="0" w:color="auto"/>
            </w:tcBorders>
            <w:shd w:val="clear" w:color="auto" w:fill="auto"/>
            <w:noWrap/>
            <w:vAlign w:val="center"/>
          </w:tcPr>
          <w:p w14:paraId="19808759" w14:textId="77777777" w:rsidR="004618A5" w:rsidRPr="00473C47" w:rsidRDefault="004618A5" w:rsidP="004618A5">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4.06</w:t>
            </w:r>
          </w:p>
        </w:tc>
        <w:tc>
          <w:tcPr>
            <w:tcW w:w="950" w:type="dxa"/>
            <w:tcBorders>
              <w:top w:val="nil"/>
              <w:left w:val="nil"/>
              <w:bottom w:val="single" w:sz="8" w:space="0" w:color="auto"/>
              <w:right w:val="single" w:sz="8" w:space="0" w:color="auto"/>
            </w:tcBorders>
            <w:shd w:val="clear" w:color="auto" w:fill="auto"/>
            <w:noWrap/>
            <w:vAlign w:val="center"/>
          </w:tcPr>
          <w:p w14:paraId="72D51C86" w14:textId="77777777" w:rsidR="004618A5" w:rsidRPr="00473C47" w:rsidRDefault="004618A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7.8%</w:t>
            </w:r>
          </w:p>
        </w:tc>
      </w:tr>
      <w:tr w:rsidR="004618A5" w:rsidRPr="00205DD5" w14:paraId="6BC9EB93" w14:textId="77777777" w:rsidTr="00EE4D02">
        <w:trPr>
          <w:trHeight w:val="300"/>
        </w:trPr>
        <w:tc>
          <w:tcPr>
            <w:tcW w:w="2504" w:type="dxa"/>
            <w:tcBorders>
              <w:top w:val="nil"/>
              <w:left w:val="single" w:sz="8" w:space="0" w:color="auto"/>
              <w:bottom w:val="single" w:sz="4" w:space="0" w:color="auto"/>
              <w:right w:val="single" w:sz="8" w:space="0" w:color="auto"/>
            </w:tcBorders>
            <w:shd w:val="clear" w:color="auto" w:fill="auto"/>
            <w:noWrap/>
            <w:vAlign w:val="center"/>
            <w:hideMark/>
          </w:tcPr>
          <w:p w14:paraId="3F445137" w14:textId="77777777" w:rsidR="004618A5" w:rsidRPr="00205DD5" w:rsidRDefault="004618A5" w:rsidP="004618A5">
            <w:pPr>
              <w:spacing w:after="0" w:line="240" w:lineRule="auto"/>
              <w:rPr>
                <w:rFonts w:ascii="Arial" w:eastAsia="Times New Roman" w:hAnsi="Arial" w:cs="Arial"/>
                <w:color w:val="000000"/>
                <w:lang w:eastAsia="en-GB"/>
              </w:rPr>
            </w:pPr>
            <w:r w:rsidRPr="00473C47">
              <w:rPr>
                <w:rFonts w:ascii="Arial" w:eastAsia="Times New Roman" w:hAnsi="Arial" w:cs="Arial"/>
                <w:color w:val="000000"/>
                <w:lang w:eastAsia="en-GB"/>
              </w:rPr>
              <w:t>VSM</w:t>
            </w:r>
          </w:p>
        </w:tc>
        <w:tc>
          <w:tcPr>
            <w:tcW w:w="706" w:type="dxa"/>
            <w:tcBorders>
              <w:top w:val="nil"/>
              <w:left w:val="nil"/>
              <w:bottom w:val="single" w:sz="4" w:space="0" w:color="auto"/>
              <w:right w:val="single" w:sz="4" w:space="0" w:color="auto"/>
            </w:tcBorders>
            <w:shd w:val="clear" w:color="auto" w:fill="auto"/>
            <w:noWrap/>
            <w:vAlign w:val="center"/>
          </w:tcPr>
          <w:p w14:paraId="3AEC8079" w14:textId="2AC6AC46"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w:t>
            </w:r>
          </w:p>
        </w:tc>
        <w:tc>
          <w:tcPr>
            <w:tcW w:w="975" w:type="dxa"/>
            <w:tcBorders>
              <w:top w:val="single" w:sz="4" w:space="0" w:color="auto"/>
              <w:left w:val="single" w:sz="4" w:space="0" w:color="auto"/>
              <w:bottom w:val="single" w:sz="4" w:space="0" w:color="auto"/>
              <w:right w:val="single" w:sz="4" w:space="0" w:color="auto"/>
            </w:tcBorders>
            <w:vAlign w:val="center"/>
          </w:tcPr>
          <w:p w14:paraId="4FEF1FD3" w14:textId="5EEEE51E"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£68.81</w:t>
            </w:r>
          </w:p>
        </w:tc>
        <w:tc>
          <w:tcPr>
            <w:tcW w:w="975" w:type="dxa"/>
            <w:tcBorders>
              <w:top w:val="nil"/>
              <w:left w:val="single" w:sz="4" w:space="0" w:color="auto"/>
              <w:bottom w:val="single" w:sz="8" w:space="0" w:color="auto"/>
              <w:right w:val="single" w:sz="8" w:space="0" w:color="auto"/>
            </w:tcBorders>
            <w:shd w:val="clear" w:color="auto" w:fill="auto"/>
            <w:noWrap/>
            <w:vAlign w:val="center"/>
          </w:tcPr>
          <w:p w14:paraId="1E098577" w14:textId="07A494DA"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w:t>
            </w:r>
          </w:p>
        </w:tc>
        <w:tc>
          <w:tcPr>
            <w:tcW w:w="1085" w:type="dxa"/>
            <w:tcBorders>
              <w:top w:val="nil"/>
              <w:left w:val="nil"/>
              <w:bottom w:val="single" w:sz="8" w:space="0" w:color="auto"/>
              <w:right w:val="single" w:sz="8" w:space="0" w:color="auto"/>
            </w:tcBorders>
            <w:shd w:val="clear" w:color="auto" w:fill="92D050"/>
            <w:noWrap/>
            <w:vAlign w:val="center"/>
          </w:tcPr>
          <w:p w14:paraId="565BB7F1" w14:textId="77777777" w:rsidR="004618A5" w:rsidRPr="00473C47"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£86.06</w:t>
            </w:r>
          </w:p>
        </w:tc>
        <w:tc>
          <w:tcPr>
            <w:tcW w:w="1331" w:type="dxa"/>
            <w:tcBorders>
              <w:top w:val="nil"/>
              <w:left w:val="nil"/>
              <w:bottom w:val="single" w:sz="8" w:space="0" w:color="auto"/>
              <w:right w:val="single" w:sz="8" w:space="0" w:color="auto"/>
            </w:tcBorders>
            <w:shd w:val="clear" w:color="auto" w:fill="auto"/>
            <w:noWrap/>
            <w:vAlign w:val="center"/>
          </w:tcPr>
          <w:p w14:paraId="17AC70E5" w14:textId="77777777" w:rsidR="004618A5" w:rsidRPr="00205DD5" w:rsidRDefault="004618A5" w:rsidP="00B44683">
            <w:pPr>
              <w:spacing w:after="0" w:line="240" w:lineRule="auto"/>
              <w:jc w:val="center"/>
              <w:rPr>
                <w:rFonts w:ascii="Arial" w:eastAsia="Times New Roman" w:hAnsi="Arial" w:cs="Arial"/>
                <w:color w:val="000000"/>
                <w:lang w:eastAsia="en-GB"/>
              </w:rPr>
            </w:pPr>
            <w:r w:rsidRPr="00205DD5">
              <w:rPr>
                <w:rFonts w:ascii="Arial" w:eastAsia="Times New Roman" w:hAnsi="Arial" w:cs="Arial"/>
                <w:color w:val="000000"/>
                <w:lang w:eastAsia="en-GB"/>
              </w:rPr>
              <w:t>24.25</w:t>
            </w:r>
          </w:p>
        </w:tc>
        <w:tc>
          <w:tcPr>
            <w:tcW w:w="950" w:type="dxa"/>
            <w:tcBorders>
              <w:top w:val="nil"/>
              <w:left w:val="nil"/>
              <w:bottom w:val="single" w:sz="8" w:space="0" w:color="auto"/>
              <w:right w:val="single" w:sz="8" w:space="0" w:color="auto"/>
            </w:tcBorders>
            <w:shd w:val="clear" w:color="auto" w:fill="auto"/>
            <w:noWrap/>
            <w:vAlign w:val="center"/>
          </w:tcPr>
          <w:p w14:paraId="4D73BA96" w14:textId="77777777" w:rsidR="004618A5" w:rsidRPr="00205DD5" w:rsidRDefault="004618A5" w:rsidP="00B44683">
            <w:pPr>
              <w:spacing w:after="0" w:line="240" w:lineRule="auto"/>
              <w:jc w:val="center"/>
              <w:rPr>
                <w:rFonts w:ascii="Arial" w:eastAsia="Times New Roman" w:hAnsi="Arial" w:cs="Arial"/>
                <w:color w:val="000000"/>
                <w:lang w:eastAsia="en-GB"/>
              </w:rPr>
            </w:pPr>
            <w:r w:rsidRPr="00205DD5">
              <w:rPr>
                <w:rFonts w:ascii="Arial" w:eastAsia="Times New Roman" w:hAnsi="Arial" w:cs="Arial"/>
                <w:color w:val="000000"/>
                <w:lang w:eastAsia="en-GB"/>
              </w:rPr>
              <w:t>-35.2%</w:t>
            </w:r>
          </w:p>
        </w:tc>
      </w:tr>
      <w:tr w:rsidR="004618A5" w:rsidRPr="00205DD5" w14:paraId="1A502DBB" w14:textId="77777777" w:rsidTr="00C35362">
        <w:trPr>
          <w:trHeight w:val="300"/>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F5380" w14:textId="6C3B2863" w:rsidR="004618A5" w:rsidRPr="00473C47" w:rsidRDefault="004618A5" w:rsidP="004618A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C</w:t>
            </w:r>
            <w:r w:rsidRPr="00473C47">
              <w:rPr>
                <w:rFonts w:ascii="Arial" w:eastAsia="Times New Roman" w:hAnsi="Arial" w:cs="Arial"/>
                <w:color w:val="000000"/>
                <w:lang w:eastAsia="en-GB"/>
              </w:rPr>
              <w:t>onsultant</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131AF6" w14:textId="7F99E64A" w:rsidR="004618A5" w:rsidRPr="00473C47"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267</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tcPr>
          <w:p w14:paraId="01100A14" w14:textId="69B12E9C"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£5</w:t>
            </w:r>
            <w:r w:rsidR="00C35362">
              <w:rPr>
                <w:rFonts w:ascii="Arial" w:eastAsia="Times New Roman" w:hAnsi="Arial" w:cs="Arial"/>
                <w:color w:val="000000"/>
                <w:lang w:eastAsia="en-GB"/>
              </w:rPr>
              <w:t>4.74</w:t>
            </w:r>
          </w:p>
        </w:tc>
        <w:tc>
          <w:tcPr>
            <w:tcW w:w="975" w:type="dxa"/>
            <w:tcBorders>
              <w:top w:val="nil"/>
              <w:left w:val="single" w:sz="4" w:space="0" w:color="auto"/>
              <w:bottom w:val="single" w:sz="4" w:space="0" w:color="auto"/>
              <w:right w:val="single" w:sz="8" w:space="0" w:color="auto"/>
            </w:tcBorders>
            <w:shd w:val="clear" w:color="auto" w:fill="auto"/>
            <w:noWrap/>
            <w:vAlign w:val="center"/>
          </w:tcPr>
          <w:p w14:paraId="67FE1174" w14:textId="23A4B713" w:rsidR="004618A5" w:rsidRPr="00473C47"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153</w:t>
            </w:r>
          </w:p>
        </w:tc>
        <w:tc>
          <w:tcPr>
            <w:tcW w:w="1085" w:type="dxa"/>
            <w:tcBorders>
              <w:top w:val="nil"/>
              <w:left w:val="nil"/>
              <w:bottom w:val="single" w:sz="4" w:space="0" w:color="auto"/>
              <w:right w:val="single" w:sz="8" w:space="0" w:color="auto"/>
            </w:tcBorders>
            <w:shd w:val="clear" w:color="auto" w:fill="auto"/>
            <w:noWrap/>
          </w:tcPr>
          <w:p w14:paraId="5B28E925" w14:textId="269588BE" w:rsidR="004618A5" w:rsidRPr="0034700A"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w:t>
            </w:r>
            <w:r w:rsidR="00C35362">
              <w:rPr>
                <w:rFonts w:ascii="Arial" w:eastAsia="Times New Roman" w:hAnsi="Arial" w:cs="Arial"/>
                <w:color w:val="000000"/>
                <w:lang w:eastAsia="en-GB"/>
              </w:rPr>
              <w:t>51.72</w:t>
            </w:r>
          </w:p>
        </w:tc>
        <w:tc>
          <w:tcPr>
            <w:tcW w:w="1331" w:type="dxa"/>
            <w:tcBorders>
              <w:top w:val="nil"/>
              <w:left w:val="nil"/>
              <w:bottom w:val="single" w:sz="4" w:space="0" w:color="auto"/>
              <w:right w:val="single" w:sz="8" w:space="0" w:color="auto"/>
            </w:tcBorders>
            <w:shd w:val="clear" w:color="auto" w:fill="auto"/>
            <w:noWrap/>
          </w:tcPr>
          <w:p w14:paraId="4B85215C" w14:textId="77777777" w:rsidR="004618A5" w:rsidRPr="0034700A" w:rsidRDefault="004618A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3.02</w:t>
            </w:r>
          </w:p>
        </w:tc>
        <w:tc>
          <w:tcPr>
            <w:tcW w:w="950" w:type="dxa"/>
            <w:tcBorders>
              <w:top w:val="nil"/>
              <w:left w:val="nil"/>
              <w:bottom w:val="single" w:sz="4" w:space="0" w:color="auto"/>
              <w:right w:val="single" w:sz="8" w:space="0" w:color="auto"/>
            </w:tcBorders>
            <w:shd w:val="clear" w:color="auto" w:fill="auto"/>
            <w:noWrap/>
          </w:tcPr>
          <w:p w14:paraId="4D5D95FF" w14:textId="77777777" w:rsidR="004618A5" w:rsidRPr="0034700A" w:rsidRDefault="004618A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5.5%</w:t>
            </w:r>
          </w:p>
        </w:tc>
      </w:tr>
      <w:tr w:rsidR="004618A5" w:rsidRPr="00205DD5" w14:paraId="4F69DE53" w14:textId="77777777" w:rsidTr="00205DD5">
        <w:trPr>
          <w:trHeight w:val="300"/>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D5C6FE" w14:textId="6595A772" w:rsidR="004618A5" w:rsidRDefault="004618A5" w:rsidP="004618A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Trainee Grade</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FED18" w14:textId="589E7527" w:rsidR="004618A5"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359</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tcPr>
          <w:p w14:paraId="6922D919" w14:textId="48931909"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£24.72</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777DFF" w14:textId="5F5F6141" w:rsidR="004618A5"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559</w:t>
            </w:r>
          </w:p>
        </w:tc>
        <w:tc>
          <w:tcPr>
            <w:tcW w:w="1085" w:type="dxa"/>
            <w:tcBorders>
              <w:top w:val="single" w:sz="4" w:space="0" w:color="auto"/>
              <w:left w:val="single" w:sz="4" w:space="0" w:color="auto"/>
              <w:bottom w:val="single" w:sz="4" w:space="0" w:color="auto"/>
              <w:right w:val="single" w:sz="4" w:space="0" w:color="auto"/>
            </w:tcBorders>
            <w:shd w:val="clear" w:color="auto" w:fill="auto"/>
            <w:noWrap/>
          </w:tcPr>
          <w:p w14:paraId="5BA1D4F1" w14:textId="24DC27CD"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£24.41</w:t>
            </w:r>
          </w:p>
        </w:tc>
        <w:tc>
          <w:tcPr>
            <w:tcW w:w="1331" w:type="dxa"/>
            <w:tcBorders>
              <w:top w:val="single" w:sz="4" w:space="0" w:color="auto"/>
              <w:left w:val="single" w:sz="4" w:space="0" w:color="auto"/>
              <w:bottom w:val="single" w:sz="4" w:space="0" w:color="auto"/>
              <w:right w:val="single" w:sz="4" w:space="0" w:color="auto"/>
            </w:tcBorders>
            <w:shd w:val="clear" w:color="auto" w:fill="auto"/>
            <w:noWrap/>
          </w:tcPr>
          <w:p w14:paraId="6A72F8B1" w14:textId="7010969D" w:rsidR="004618A5" w:rsidRDefault="00BF5E0C"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0.31</w:t>
            </w:r>
          </w:p>
        </w:tc>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57BB81A8" w14:textId="0F9CDAFF" w:rsidR="004618A5" w:rsidRDefault="00205DD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1.25%</w:t>
            </w:r>
          </w:p>
        </w:tc>
      </w:tr>
      <w:tr w:rsidR="004618A5" w:rsidRPr="00205DD5" w14:paraId="3C079106" w14:textId="77777777" w:rsidTr="00EE4D02">
        <w:trPr>
          <w:trHeight w:val="300"/>
        </w:trPr>
        <w:tc>
          <w:tcPr>
            <w:tcW w:w="2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9CCFB1" w14:textId="4799D99F" w:rsidR="004618A5" w:rsidRDefault="004618A5" w:rsidP="004618A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Career Grade</w:t>
            </w:r>
          </w:p>
        </w:tc>
        <w:tc>
          <w:tcPr>
            <w:tcW w:w="7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D861B0" w14:textId="4BB343B1" w:rsidR="004618A5" w:rsidRDefault="004618A5" w:rsidP="003119F4">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88</w:t>
            </w:r>
          </w:p>
        </w:tc>
        <w:tc>
          <w:tcPr>
            <w:tcW w:w="975" w:type="dxa"/>
            <w:tcBorders>
              <w:top w:val="single" w:sz="4" w:space="0" w:color="auto"/>
              <w:left w:val="single" w:sz="4" w:space="0" w:color="auto"/>
              <w:bottom w:val="single" w:sz="4" w:space="0" w:color="auto"/>
              <w:right w:val="single" w:sz="4" w:space="0" w:color="auto"/>
            </w:tcBorders>
            <w:shd w:val="clear" w:color="auto" w:fill="70AD47" w:themeFill="accent6"/>
          </w:tcPr>
          <w:p w14:paraId="16587164" w14:textId="28FF19E8"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£32.25</w:t>
            </w:r>
          </w:p>
        </w:tc>
        <w:tc>
          <w:tcPr>
            <w:tcW w:w="9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28731A" w14:textId="593A0528" w:rsidR="004618A5" w:rsidRDefault="004618A5" w:rsidP="00EE4D02">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81</w:t>
            </w:r>
          </w:p>
        </w:tc>
        <w:tc>
          <w:tcPr>
            <w:tcW w:w="1085" w:type="dxa"/>
            <w:tcBorders>
              <w:top w:val="single" w:sz="4" w:space="0" w:color="auto"/>
              <w:left w:val="single" w:sz="4" w:space="0" w:color="auto"/>
              <w:bottom w:val="single" w:sz="4" w:space="0" w:color="auto"/>
              <w:right w:val="single" w:sz="4" w:space="0" w:color="auto"/>
            </w:tcBorders>
            <w:shd w:val="clear" w:color="auto" w:fill="auto"/>
            <w:noWrap/>
          </w:tcPr>
          <w:p w14:paraId="7349758D" w14:textId="59DBC829" w:rsidR="004618A5" w:rsidRDefault="004618A5" w:rsidP="00205DD5">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£29.67</w:t>
            </w:r>
          </w:p>
        </w:tc>
        <w:tc>
          <w:tcPr>
            <w:tcW w:w="1331" w:type="dxa"/>
            <w:tcBorders>
              <w:top w:val="single" w:sz="4" w:space="0" w:color="auto"/>
              <w:left w:val="single" w:sz="4" w:space="0" w:color="auto"/>
              <w:bottom w:val="single" w:sz="4" w:space="0" w:color="auto"/>
              <w:right w:val="single" w:sz="4" w:space="0" w:color="auto"/>
            </w:tcBorders>
            <w:shd w:val="clear" w:color="auto" w:fill="auto"/>
            <w:noWrap/>
          </w:tcPr>
          <w:p w14:paraId="642F8B6C" w14:textId="4155032F" w:rsidR="004618A5" w:rsidRDefault="00BF5E0C"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2.58</w:t>
            </w:r>
          </w:p>
        </w:tc>
        <w:tc>
          <w:tcPr>
            <w:tcW w:w="950" w:type="dxa"/>
            <w:tcBorders>
              <w:top w:val="single" w:sz="4" w:space="0" w:color="auto"/>
              <w:left w:val="single" w:sz="4" w:space="0" w:color="auto"/>
              <w:bottom w:val="single" w:sz="4" w:space="0" w:color="auto"/>
              <w:right w:val="single" w:sz="4" w:space="0" w:color="auto"/>
            </w:tcBorders>
            <w:shd w:val="clear" w:color="auto" w:fill="auto"/>
            <w:noWrap/>
          </w:tcPr>
          <w:p w14:paraId="0F0488FA" w14:textId="0E8EC098" w:rsidR="004618A5" w:rsidRDefault="00205DD5" w:rsidP="00B44683">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8%</w:t>
            </w:r>
          </w:p>
        </w:tc>
      </w:tr>
    </w:tbl>
    <w:p w14:paraId="20DC23B2" w14:textId="77777777" w:rsidR="000E2EAB" w:rsidRPr="00205DD5" w:rsidRDefault="000E2EAB" w:rsidP="00205DD5">
      <w:pPr>
        <w:spacing w:after="0" w:line="240" w:lineRule="auto"/>
        <w:rPr>
          <w:rFonts w:ascii="Arial" w:eastAsia="Times New Roman" w:hAnsi="Arial" w:cs="Arial"/>
          <w:color w:val="000000"/>
          <w:lang w:eastAsia="en-GB"/>
        </w:rPr>
      </w:pPr>
    </w:p>
    <w:p w14:paraId="3852309E" w14:textId="77777777" w:rsidR="000E2EAB" w:rsidRPr="00975EAF" w:rsidRDefault="000E2EAB" w:rsidP="000E2EAB">
      <w:pPr>
        <w:rPr>
          <w:rFonts w:ascii="Arial" w:hAnsi="Arial" w:cs="Arial"/>
          <w:b/>
          <w:bCs/>
        </w:rPr>
      </w:pPr>
      <w:r w:rsidRPr="00975EAF">
        <w:rPr>
          <w:rFonts w:ascii="Arial" w:hAnsi="Arial" w:cs="Arial"/>
          <w:b/>
          <w:bCs/>
        </w:rPr>
        <w:t>*Refers to the mean hourly rate</w:t>
      </w:r>
    </w:p>
    <w:p w14:paraId="441FE5C7" w14:textId="77777777" w:rsidR="000E2EAB" w:rsidRPr="009123A0" w:rsidRDefault="000E2EAB" w:rsidP="000E2EAB">
      <w:pPr>
        <w:jc w:val="both"/>
        <w:rPr>
          <w:rFonts w:ascii="Arial" w:hAnsi="Arial" w:cs="Arial"/>
        </w:rPr>
      </w:pPr>
      <w:r w:rsidRPr="009123A0">
        <w:rPr>
          <w:rFonts w:ascii="Arial" w:hAnsi="Arial" w:cs="Arial"/>
          <w:b/>
          <w:vertAlign w:val="superscript"/>
        </w:rPr>
        <w:t>Ɨ</w:t>
      </w:r>
      <w:r w:rsidRPr="009123A0">
        <w:rPr>
          <w:rFonts w:ascii="Arial" w:hAnsi="Arial" w:cs="Arial"/>
        </w:rPr>
        <w:t>negative values mean that the difference and the gap are favourable to females</w:t>
      </w:r>
    </w:p>
    <w:p w14:paraId="16BEEEF8" w14:textId="175AE344" w:rsidR="000E2EAB" w:rsidRDefault="000E2EAB" w:rsidP="000E2EAB">
      <w:pPr>
        <w:autoSpaceDE w:val="0"/>
        <w:autoSpaceDN w:val="0"/>
        <w:adjustRightInd w:val="0"/>
        <w:spacing w:after="0" w:line="240" w:lineRule="auto"/>
        <w:jc w:val="both"/>
        <w:rPr>
          <w:rFonts w:ascii="Arial" w:hAnsi="Arial" w:cs="Arial"/>
        </w:rPr>
      </w:pPr>
      <w:r w:rsidRPr="009123A0">
        <w:rPr>
          <w:rFonts w:ascii="Arial" w:hAnsi="Arial" w:cs="Arial"/>
        </w:rPr>
        <w:t xml:space="preserve">The above table shows that, on average, </w:t>
      </w:r>
      <w:r w:rsidRPr="009E7F67">
        <w:rPr>
          <w:rFonts w:ascii="Arial" w:hAnsi="Arial" w:cs="Arial"/>
        </w:rPr>
        <w:t xml:space="preserve">females earn more in half of the pay bands than males - the bands where males earn more are, </w:t>
      </w:r>
      <w:r w:rsidRPr="006D6C8B">
        <w:rPr>
          <w:rFonts w:ascii="Arial" w:hAnsi="Arial" w:cs="Arial"/>
        </w:rPr>
        <w:t>Apprentice</w:t>
      </w:r>
      <w:r w:rsidRPr="006D6C8B">
        <w:rPr>
          <w:rFonts w:ascii="Arial" w:hAnsi="Arial" w:cs="Arial"/>
          <w:color w:val="FF0000"/>
          <w:shd w:val="clear" w:color="auto" w:fill="FFFFFF" w:themeFill="background1"/>
        </w:rPr>
        <w:t xml:space="preserve">, </w:t>
      </w:r>
      <w:r w:rsidRPr="006D6C8B">
        <w:rPr>
          <w:rFonts w:ascii="Arial" w:hAnsi="Arial" w:cs="Arial"/>
          <w:shd w:val="clear" w:color="auto" w:fill="FFFFFF" w:themeFill="background1"/>
        </w:rPr>
        <w:t xml:space="preserve">2, 3,8b, 8d, 9 </w:t>
      </w:r>
      <w:r w:rsidR="00C35362">
        <w:rPr>
          <w:rFonts w:ascii="Arial" w:hAnsi="Arial" w:cs="Arial"/>
          <w:shd w:val="clear" w:color="auto" w:fill="FFFFFF" w:themeFill="background1"/>
        </w:rPr>
        <w:t xml:space="preserve">VSM </w:t>
      </w:r>
      <w:r w:rsidRPr="006D6C8B">
        <w:rPr>
          <w:rFonts w:ascii="Arial" w:hAnsi="Arial" w:cs="Arial"/>
          <w:shd w:val="clear" w:color="auto" w:fill="FFFFFF" w:themeFill="background1"/>
        </w:rPr>
        <w:t>and</w:t>
      </w:r>
      <w:r w:rsidRPr="009123A0">
        <w:rPr>
          <w:rFonts w:ascii="Arial" w:hAnsi="Arial" w:cs="Arial"/>
        </w:rPr>
        <w:t xml:space="preserve"> medical roles (Consultant</w:t>
      </w:r>
      <w:r w:rsidR="00C35362">
        <w:rPr>
          <w:rFonts w:ascii="Arial" w:hAnsi="Arial" w:cs="Arial"/>
        </w:rPr>
        <w:t xml:space="preserve">, Trainee Grade and Career Grades </w:t>
      </w:r>
      <w:r w:rsidRPr="009123A0">
        <w:rPr>
          <w:rFonts w:ascii="Arial" w:hAnsi="Arial" w:cs="Arial"/>
        </w:rPr>
        <w:t>).</w:t>
      </w:r>
    </w:p>
    <w:p w14:paraId="35E2543F" w14:textId="77777777" w:rsidR="000E2EAB" w:rsidRDefault="000E2EAB" w:rsidP="000E2EAB">
      <w:pPr>
        <w:autoSpaceDE w:val="0"/>
        <w:autoSpaceDN w:val="0"/>
        <w:adjustRightInd w:val="0"/>
        <w:spacing w:after="0" w:line="240" w:lineRule="auto"/>
        <w:jc w:val="both"/>
        <w:rPr>
          <w:rFonts w:ascii="Arial" w:hAnsi="Arial" w:cs="Arial"/>
        </w:rPr>
      </w:pPr>
    </w:p>
    <w:p w14:paraId="46C6B88C" w14:textId="77777777" w:rsidR="000E2EAB" w:rsidRPr="009123A0" w:rsidRDefault="000E2EAB" w:rsidP="000E2EAB">
      <w:pPr>
        <w:tabs>
          <w:tab w:val="left" w:pos="3876"/>
        </w:tabs>
        <w:autoSpaceDE w:val="0"/>
        <w:autoSpaceDN w:val="0"/>
        <w:adjustRightInd w:val="0"/>
        <w:spacing w:after="0" w:line="240" w:lineRule="auto"/>
        <w:jc w:val="both"/>
        <w:rPr>
          <w:rFonts w:ascii="Arial" w:hAnsi="Arial" w:cs="Arial"/>
        </w:rPr>
      </w:pPr>
      <w:r w:rsidRPr="009123A0">
        <w:rPr>
          <w:rFonts w:ascii="Arial" w:hAnsi="Arial" w:cs="Arial"/>
        </w:rPr>
        <w:t xml:space="preserve">We have also analysed the proportion of males and females across each of the above bands, and the results of this are shown in the bar chart below. </w:t>
      </w:r>
    </w:p>
    <w:p w14:paraId="50A2AD86" w14:textId="77777777" w:rsidR="000E2EAB" w:rsidRDefault="000E2EAB" w:rsidP="000E2EAB">
      <w:pPr>
        <w:autoSpaceDE w:val="0"/>
        <w:autoSpaceDN w:val="0"/>
        <w:adjustRightInd w:val="0"/>
        <w:spacing w:after="0" w:line="240" w:lineRule="auto"/>
        <w:jc w:val="both"/>
        <w:rPr>
          <w:rFonts w:ascii="Arial" w:hAnsi="Arial" w:cs="Arial"/>
        </w:rPr>
      </w:pPr>
    </w:p>
    <w:p w14:paraId="0BE7BF48" w14:textId="77777777" w:rsidR="000E2EAB" w:rsidRDefault="000E2EAB" w:rsidP="000E2EAB">
      <w:pPr>
        <w:autoSpaceDE w:val="0"/>
        <w:autoSpaceDN w:val="0"/>
        <w:adjustRightInd w:val="0"/>
        <w:spacing w:after="0" w:line="240" w:lineRule="auto"/>
        <w:rPr>
          <w:rFonts w:ascii="Arial" w:hAnsi="Arial" w:cs="Arial"/>
          <w:b/>
          <w:bCs/>
        </w:rPr>
      </w:pPr>
    </w:p>
    <w:p w14:paraId="54A1D937" w14:textId="77777777" w:rsidR="000E2EAB" w:rsidRDefault="000E2EAB" w:rsidP="000E2EAB">
      <w:pPr>
        <w:autoSpaceDE w:val="0"/>
        <w:autoSpaceDN w:val="0"/>
        <w:adjustRightInd w:val="0"/>
        <w:spacing w:after="0" w:line="240" w:lineRule="auto"/>
        <w:rPr>
          <w:rFonts w:ascii="Arial" w:hAnsi="Arial" w:cs="Arial"/>
          <w:b/>
          <w:bCs/>
        </w:rPr>
      </w:pPr>
    </w:p>
    <w:p w14:paraId="6016E553" w14:textId="77777777" w:rsidR="000E2EAB" w:rsidRDefault="000E2EAB" w:rsidP="000E2EAB">
      <w:pPr>
        <w:autoSpaceDE w:val="0"/>
        <w:autoSpaceDN w:val="0"/>
        <w:adjustRightInd w:val="0"/>
        <w:spacing w:after="0" w:line="240" w:lineRule="auto"/>
        <w:rPr>
          <w:rFonts w:ascii="Arial" w:hAnsi="Arial" w:cs="Arial"/>
          <w:b/>
          <w:bCs/>
        </w:rPr>
      </w:pPr>
    </w:p>
    <w:p w14:paraId="696892E4" w14:textId="77777777" w:rsidR="000E2EAB" w:rsidRDefault="000E2EAB" w:rsidP="000E2EAB">
      <w:pPr>
        <w:autoSpaceDE w:val="0"/>
        <w:autoSpaceDN w:val="0"/>
        <w:adjustRightInd w:val="0"/>
        <w:spacing w:after="0" w:line="240" w:lineRule="auto"/>
        <w:rPr>
          <w:rFonts w:ascii="Arial" w:hAnsi="Arial" w:cs="Arial"/>
          <w:b/>
          <w:bCs/>
        </w:rPr>
      </w:pPr>
    </w:p>
    <w:p w14:paraId="6BD82AB0" w14:textId="77777777" w:rsidR="000E2EAB" w:rsidRDefault="000E2EAB" w:rsidP="000E2EAB">
      <w:pPr>
        <w:autoSpaceDE w:val="0"/>
        <w:autoSpaceDN w:val="0"/>
        <w:adjustRightInd w:val="0"/>
        <w:spacing w:after="0" w:line="240" w:lineRule="auto"/>
        <w:rPr>
          <w:rFonts w:ascii="Arial" w:hAnsi="Arial" w:cs="Arial"/>
          <w:b/>
          <w:bCs/>
        </w:rPr>
      </w:pPr>
    </w:p>
    <w:p w14:paraId="5EEA976C" w14:textId="77777777" w:rsidR="000E2EAB" w:rsidRDefault="000E2EAB" w:rsidP="000E2EAB">
      <w:pPr>
        <w:autoSpaceDE w:val="0"/>
        <w:autoSpaceDN w:val="0"/>
        <w:adjustRightInd w:val="0"/>
        <w:spacing w:after="0" w:line="240" w:lineRule="auto"/>
        <w:rPr>
          <w:rFonts w:ascii="Arial" w:hAnsi="Arial" w:cs="Arial"/>
          <w:b/>
          <w:bCs/>
        </w:rPr>
      </w:pPr>
    </w:p>
    <w:p w14:paraId="25179FDF" w14:textId="1E4314D5" w:rsidR="000E2EAB" w:rsidRPr="0071575A" w:rsidRDefault="000E2EAB" w:rsidP="0071575A">
      <w:pPr>
        <w:autoSpaceDE w:val="0"/>
        <w:autoSpaceDN w:val="0"/>
        <w:adjustRightInd w:val="0"/>
        <w:spacing w:after="0" w:line="240" w:lineRule="auto"/>
        <w:jc w:val="center"/>
        <w:rPr>
          <w:rFonts w:ascii="Arial" w:hAnsi="Arial" w:cs="Arial"/>
          <w:b/>
          <w:bCs/>
          <w:sz w:val="24"/>
          <w:szCs w:val="24"/>
        </w:rPr>
      </w:pPr>
      <w:r w:rsidRPr="0071575A">
        <w:rPr>
          <w:rFonts w:ascii="Arial" w:hAnsi="Arial" w:cs="Arial"/>
          <w:b/>
          <w:bCs/>
          <w:sz w:val="24"/>
          <w:szCs w:val="24"/>
        </w:rPr>
        <w:t>Gender split by band – based on headcount</w:t>
      </w:r>
    </w:p>
    <w:p w14:paraId="165D04B5" w14:textId="77777777" w:rsidR="000E2EAB" w:rsidRPr="0099588A" w:rsidRDefault="000E2EAB" w:rsidP="000E2EAB">
      <w:pPr>
        <w:autoSpaceDE w:val="0"/>
        <w:autoSpaceDN w:val="0"/>
        <w:adjustRightInd w:val="0"/>
        <w:spacing w:after="0" w:line="240" w:lineRule="auto"/>
        <w:rPr>
          <w:rFonts w:ascii="Arial" w:hAnsi="Arial" w:cs="Arial"/>
          <w:b/>
          <w:bCs/>
        </w:rPr>
      </w:pPr>
    </w:p>
    <w:p w14:paraId="098A4D4D" w14:textId="77777777" w:rsidR="000E2EAB" w:rsidRDefault="000E2EAB" w:rsidP="000E2EAB">
      <w:pPr>
        <w:autoSpaceDE w:val="0"/>
        <w:autoSpaceDN w:val="0"/>
        <w:adjustRightInd w:val="0"/>
        <w:spacing w:after="0" w:line="240" w:lineRule="auto"/>
        <w:rPr>
          <w:rFonts w:ascii="Arial" w:hAnsi="Arial" w:cs="Arial"/>
        </w:rPr>
      </w:pPr>
      <w:r>
        <w:rPr>
          <w:noProof/>
        </w:rPr>
        <w:drawing>
          <wp:inline distT="0" distB="0" distL="0" distR="0" wp14:anchorId="25A15ABB" wp14:editId="6C3C19B3">
            <wp:extent cx="5568950" cy="2565400"/>
            <wp:effectExtent l="0" t="0" r="12700" b="6350"/>
            <wp:docPr id="12" name="Chart 12">
              <a:extLst xmlns:a="http://schemas.openxmlformats.org/drawingml/2006/main">
                <a:ext uri="{FF2B5EF4-FFF2-40B4-BE49-F238E27FC236}">
                  <a16:creationId xmlns:a16="http://schemas.microsoft.com/office/drawing/2014/main" id="{812510C3-47E4-4975-8445-1A3AC3A2D7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AF7B973" w14:textId="77777777" w:rsidR="009C358B" w:rsidRDefault="009C358B" w:rsidP="000E2EAB">
      <w:pPr>
        <w:rPr>
          <w:rFonts w:ascii="Arial" w:hAnsi="Arial" w:cs="Arial"/>
          <w:b/>
          <w:sz w:val="24"/>
          <w:szCs w:val="24"/>
        </w:rPr>
      </w:pPr>
    </w:p>
    <w:p w14:paraId="1A498A58" w14:textId="4C9246B8" w:rsidR="000E2EAB" w:rsidRPr="0071575A" w:rsidRDefault="000E2EAB" w:rsidP="000E2EAB">
      <w:pPr>
        <w:rPr>
          <w:rFonts w:ascii="Arial" w:hAnsi="Arial" w:cs="Arial"/>
          <w:b/>
          <w:sz w:val="24"/>
          <w:szCs w:val="24"/>
        </w:rPr>
      </w:pPr>
      <w:r w:rsidRPr="0071575A">
        <w:rPr>
          <w:rFonts w:ascii="Arial" w:hAnsi="Arial" w:cs="Arial"/>
          <w:b/>
          <w:sz w:val="24"/>
          <w:szCs w:val="24"/>
        </w:rPr>
        <w:t xml:space="preserve">4. Specific Focus Areas </w:t>
      </w:r>
    </w:p>
    <w:p w14:paraId="124D182E" w14:textId="2F4A5424" w:rsidR="000E2EAB" w:rsidRPr="000B51BA" w:rsidRDefault="000E2EAB" w:rsidP="000E2EAB">
      <w:pPr>
        <w:rPr>
          <w:rFonts w:ascii="Arial" w:hAnsi="Arial" w:cs="Arial"/>
          <w:b/>
        </w:rPr>
      </w:pPr>
      <w:r w:rsidRPr="000B51BA">
        <w:rPr>
          <w:rFonts w:ascii="Arial" w:hAnsi="Arial" w:cs="Arial"/>
          <w:b/>
        </w:rPr>
        <w:t xml:space="preserve">Medical </w:t>
      </w:r>
      <w:r w:rsidR="00F264A0">
        <w:rPr>
          <w:rFonts w:ascii="Arial" w:hAnsi="Arial" w:cs="Arial"/>
          <w:b/>
        </w:rPr>
        <w:t>Staff</w:t>
      </w:r>
      <w:r w:rsidRPr="000B51BA">
        <w:rPr>
          <w:rFonts w:ascii="Arial" w:hAnsi="Arial" w:cs="Arial"/>
          <w:b/>
        </w:rPr>
        <w:t xml:space="preserve"> </w:t>
      </w:r>
    </w:p>
    <w:p w14:paraId="32A557C1" w14:textId="2ADB0D1B" w:rsidR="000E2EAB" w:rsidRPr="006D6C8B" w:rsidRDefault="000E2EAB" w:rsidP="000E2EAB">
      <w:pPr>
        <w:jc w:val="both"/>
        <w:rPr>
          <w:rFonts w:ascii="Arial" w:hAnsi="Arial" w:cs="Arial"/>
        </w:rPr>
      </w:pPr>
      <w:r w:rsidRPr="006D6C8B">
        <w:rPr>
          <w:rFonts w:ascii="Arial" w:hAnsi="Arial" w:cs="Arial"/>
        </w:rPr>
        <w:t xml:space="preserve">The most significant feature of the data at 31 March 2022 is that if Medical </w:t>
      </w:r>
      <w:bookmarkStart w:id="6" w:name="_Hlk126228987"/>
      <w:r w:rsidR="00F264A0" w:rsidRPr="00F264A0">
        <w:rPr>
          <w:rFonts w:ascii="Arial" w:hAnsi="Arial" w:cs="Arial"/>
          <w:bCs/>
        </w:rPr>
        <w:t>Staff</w:t>
      </w:r>
      <w:bookmarkEnd w:id="6"/>
      <w:r w:rsidRPr="006D6C8B">
        <w:rPr>
          <w:rFonts w:ascii="Arial" w:hAnsi="Arial" w:cs="Arial"/>
        </w:rPr>
        <w:t xml:space="preserve"> were to be removed from the calculations, then the median gap is nullified and the mean is reduced to </w:t>
      </w:r>
      <w:r w:rsidRPr="00421337">
        <w:rPr>
          <w:rFonts w:ascii="Arial" w:hAnsi="Arial" w:cs="Arial"/>
          <w:b/>
          <w:bCs/>
        </w:rPr>
        <w:t>4.1%</w:t>
      </w:r>
      <w:r w:rsidRPr="006D6C8B">
        <w:rPr>
          <w:rFonts w:ascii="Arial" w:hAnsi="Arial" w:cs="Arial"/>
        </w:rPr>
        <w:t xml:space="preserve"> from </w:t>
      </w:r>
      <w:r w:rsidRPr="00421337">
        <w:rPr>
          <w:rFonts w:ascii="Arial" w:hAnsi="Arial" w:cs="Arial"/>
          <w:b/>
          <w:bCs/>
        </w:rPr>
        <w:t>28.2%.</w:t>
      </w:r>
    </w:p>
    <w:p w14:paraId="0C24660D" w14:textId="77777777" w:rsidR="000E2EAB" w:rsidRPr="006C47EE" w:rsidRDefault="000E2EAB" w:rsidP="000E2EAB">
      <w:pPr>
        <w:jc w:val="both"/>
        <w:rPr>
          <w:rFonts w:ascii="Arial" w:hAnsi="Arial" w:cs="Arial"/>
        </w:rPr>
      </w:pPr>
      <w:r w:rsidRPr="006D6C8B">
        <w:rPr>
          <w:rFonts w:ascii="Arial" w:hAnsi="Arial" w:cs="Arial"/>
        </w:rPr>
        <w:t xml:space="preserve">Medical staff group comprises a large group, from Foundation level doctors in their first-year post qualification to consultants. The pay gap for Medical staff as a whole is </w:t>
      </w:r>
      <w:r w:rsidRPr="00421337">
        <w:rPr>
          <w:rFonts w:ascii="Arial" w:hAnsi="Arial" w:cs="Arial"/>
          <w:b/>
          <w:bCs/>
        </w:rPr>
        <w:t>18%</w:t>
      </w:r>
      <w:r w:rsidRPr="006D6C8B">
        <w:rPr>
          <w:rFonts w:ascii="Arial" w:hAnsi="Arial" w:cs="Arial"/>
        </w:rPr>
        <w:t xml:space="preserve"> - males get </w:t>
      </w:r>
      <w:r w:rsidRPr="006C47EE">
        <w:rPr>
          <w:rFonts w:ascii="Arial" w:hAnsi="Arial" w:cs="Arial"/>
        </w:rPr>
        <w:t xml:space="preserve">paid on average </w:t>
      </w:r>
      <w:r w:rsidRPr="006C47EE">
        <w:rPr>
          <w:rFonts w:ascii="Arial" w:hAnsi="Arial" w:cs="Arial"/>
          <w:b/>
          <w:bCs/>
        </w:rPr>
        <w:t>£36.87</w:t>
      </w:r>
      <w:r w:rsidRPr="006C47EE">
        <w:rPr>
          <w:rFonts w:ascii="Arial" w:hAnsi="Arial" w:cs="Arial"/>
        </w:rPr>
        <w:t xml:space="preserve"> per hour whereas females are paid </w:t>
      </w:r>
      <w:r w:rsidRPr="006C47EE">
        <w:rPr>
          <w:rFonts w:ascii="Arial" w:hAnsi="Arial" w:cs="Arial"/>
          <w:b/>
          <w:bCs/>
        </w:rPr>
        <w:t>£30.22</w:t>
      </w:r>
      <w:r w:rsidRPr="006C47EE">
        <w:rPr>
          <w:rFonts w:ascii="Arial" w:hAnsi="Arial" w:cs="Arial"/>
        </w:rPr>
        <w:t xml:space="preserve"> per hour. </w:t>
      </w:r>
    </w:p>
    <w:p w14:paraId="6B6BB984" w14:textId="77777777" w:rsidR="000E2EAB" w:rsidRDefault="000E2EAB" w:rsidP="000E2EAB">
      <w:pPr>
        <w:jc w:val="both"/>
        <w:rPr>
          <w:rFonts w:ascii="Arial" w:hAnsi="Arial" w:cs="Arial"/>
        </w:rPr>
      </w:pPr>
      <w:r w:rsidRPr="006C47EE">
        <w:rPr>
          <w:rFonts w:ascii="Arial" w:hAnsi="Arial" w:cs="Arial"/>
        </w:rPr>
        <w:t xml:space="preserve">Please note National Clinical </w:t>
      </w:r>
      <w:r>
        <w:rPr>
          <w:rFonts w:ascii="Arial" w:hAnsi="Arial" w:cs="Arial"/>
        </w:rPr>
        <w:t>Excellence</w:t>
      </w:r>
      <w:r w:rsidRPr="006C47EE">
        <w:rPr>
          <w:rFonts w:ascii="Arial" w:hAnsi="Arial" w:cs="Arial"/>
        </w:rPr>
        <w:t xml:space="preserve"> </w:t>
      </w:r>
      <w:r>
        <w:rPr>
          <w:rFonts w:ascii="Arial" w:hAnsi="Arial" w:cs="Arial"/>
        </w:rPr>
        <w:t>A</w:t>
      </w:r>
      <w:r w:rsidRPr="006C47EE">
        <w:rPr>
          <w:rFonts w:ascii="Arial" w:hAnsi="Arial" w:cs="Arial"/>
        </w:rPr>
        <w:t xml:space="preserve">wards have been </w:t>
      </w:r>
      <w:r w:rsidRPr="006C47EE">
        <w:rPr>
          <w:rFonts w:ascii="Arial" w:hAnsi="Arial" w:cs="Arial"/>
          <w:u w:val="single"/>
        </w:rPr>
        <w:t>excluded</w:t>
      </w:r>
      <w:r w:rsidRPr="006C47EE">
        <w:rPr>
          <w:rFonts w:ascii="Arial" w:hAnsi="Arial" w:cs="Arial"/>
        </w:rPr>
        <w:t xml:space="preserve"> from the Medical Pay Calculations in this document. The Bonus section will address the Awards.</w:t>
      </w:r>
      <w:r>
        <w:rPr>
          <w:rFonts w:ascii="Arial" w:hAnsi="Arial" w:cs="Arial"/>
        </w:rPr>
        <w:t xml:space="preserve"> </w:t>
      </w:r>
    </w:p>
    <w:p w14:paraId="1EB8F105" w14:textId="77777777" w:rsidR="000E2EAB" w:rsidRDefault="000E2EAB" w:rsidP="000E2EAB">
      <w:pPr>
        <w:rPr>
          <w:rFonts w:ascii="Arial" w:hAnsi="Arial" w:cs="Arial"/>
          <w:b/>
        </w:rPr>
      </w:pPr>
    </w:p>
    <w:p w14:paraId="38030E3B" w14:textId="77777777" w:rsidR="000E2EAB" w:rsidRPr="009123A0" w:rsidRDefault="000E2EAB" w:rsidP="000E2EAB">
      <w:pPr>
        <w:rPr>
          <w:rFonts w:ascii="Arial" w:hAnsi="Arial" w:cs="Arial"/>
          <w:b/>
        </w:rPr>
      </w:pPr>
      <w:r w:rsidRPr="009123A0">
        <w:rPr>
          <w:rFonts w:ascii="Arial" w:hAnsi="Arial" w:cs="Arial"/>
          <w:b/>
        </w:rPr>
        <w:t xml:space="preserve">5. </w:t>
      </w:r>
      <w:r w:rsidRPr="0071575A">
        <w:rPr>
          <w:rFonts w:ascii="Arial" w:hAnsi="Arial" w:cs="Arial"/>
          <w:b/>
          <w:sz w:val="24"/>
          <w:szCs w:val="24"/>
        </w:rPr>
        <w:t xml:space="preserve">Bonuses </w:t>
      </w:r>
    </w:p>
    <w:p w14:paraId="6845B6DC" w14:textId="77777777" w:rsidR="000E2EAB" w:rsidRDefault="000E2EAB" w:rsidP="000E2EAB">
      <w:pPr>
        <w:jc w:val="both"/>
        <w:rPr>
          <w:rFonts w:ascii="Arial" w:hAnsi="Arial" w:cs="Arial"/>
          <w:lang w:val="en-GB"/>
        </w:rPr>
      </w:pPr>
      <w:r>
        <w:rPr>
          <w:rFonts w:ascii="Arial" w:hAnsi="Arial" w:cs="Arial"/>
        </w:rPr>
        <w:t xml:space="preserve">The only bonuses paid in the time frame covered by this report (1st April 2021 to 31st March 2022) were to Medical Consultants, in the form of </w:t>
      </w:r>
      <w:r w:rsidRPr="007515E8">
        <w:rPr>
          <w:rFonts w:ascii="Arial" w:hAnsi="Arial" w:cs="Arial"/>
          <w:color w:val="0B0C0C"/>
          <w:shd w:val="clear" w:color="auto" w:fill="FFFFFF"/>
        </w:rPr>
        <w:t xml:space="preserve">Clinical </w:t>
      </w:r>
      <w:r>
        <w:rPr>
          <w:rFonts w:ascii="Arial" w:hAnsi="Arial" w:cs="Arial"/>
          <w:color w:val="0B0C0C"/>
          <w:shd w:val="clear" w:color="auto" w:fill="FFFFFF"/>
        </w:rPr>
        <w:t>Excellence Awards</w:t>
      </w:r>
      <w:r>
        <w:rPr>
          <w:rFonts w:ascii="Arial" w:hAnsi="Arial" w:cs="Arial"/>
        </w:rPr>
        <w:t xml:space="preserve">. There were </w:t>
      </w:r>
      <w:r w:rsidRPr="00767913">
        <w:rPr>
          <w:rFonts w:ascii="Arial" w:hAnsi="Arial" w:cs="Arial"/>
          <w:b/>
          <w:bCs/>
        </w:rPr>
        <w:t>184</w:t>
      </w:r>
      <w:r>
        <w:rPr>
          <w:rFonts w:ascii="Arial" w:hAnsi="Arial" w:cs="Arial"/>
        </w:rPr>
        <w:t xml:space="preserve"> bonuses paid in the period; </w:t>
      </w:r>
      <w:r w:rsidRPr="00767913">
        <w:rPr>
          <w:rFonts w:ascii="Arial" w:hAnsi="Arial" w:cs="Arial"/>
          <w:b/>
          <w:bCs/>
        </w:rPr>
        <w:t>59</w:t>
      </w:r>
      <w:r>
        <w:rPr>
          <w:rFonts w:ascii="Arial" w:hAnsi="Arial" w:cs="Arial"/>
        </w:rPr>
        <w:t xml:space="preserve"> were to female consultants and </w:t>
      </w:r>
      <w:r w:rsidRPr="00767913">
        <w:rPr>
          <w:rFonts w:ascii="Arial" w:hAnsi="Arial" w:cs="Arial"/>
          <w:b/>
          <w:bCs/>
        </w:rPr>
        <w:t>125</w:t>
      </w:r>
      <w:r>
        <w:rPr>
          <w:rFonts w:ascii="Arial" w:hAnsi="Arial" w:cs="Arial"/>
        </w:rPr>
        <w:t xml:space="preserve"> were to male consultants. When compared with the proportion of male Consultants to female Consultants, </w:t>
      </w:r>
      <w:r w:rsidRPr="006C47EE">
        <w:rPr>
          <w:rFonts w:ascii="Arial" w:hAnsi="Arial" w:cs="Arial"/>
          <w:b/>
          <w:bCs/>
        </w:rPr>
        <w:t>67.7%</w:t>
      </w:r>
      <w:r>
        <w:rPr>
          <w:rFonts w:ascii="Arial" w:hAnsi="Arial" w:cs="Arial"/>
        </w:rPr>
        <w:t xml:space="preserve"> of bonuses were paid to male consultants who make up </w:t>
      </w:r>
      <w:r w:rsidRPr="006C47EE">
        <w:rPr>
          <w:rFonts w:ascii="Arial" w:hAnsi="Arial" w:cs="Arial"/>
          <w:b/>
          <w:bCs/>
        </w:rPr>
        <w:t>63.5%</w:t>
      </w:r>
      <w:r>
        <w:rPr>
          <w:rFonts w:ascii="Arial" w:hAnsi="Arial" w:cs="Arial"/>
        </w:rPr>
        <w:t xml:space="preserve"> of all consultant posts, and </w:t>
      </w:r>
      <w:r w:rsidRPr="00767913">
        <w:rPr>
          <w:rFonts w:ascii="Arial" w:hAnsi="Arial" w:cs="Arial"/>
          <w:b/>
          <w:bCs/>
        </w:rPr>
        <w:t>32.5%</w:t>
      </w:r>
      <w:r>
        <w:rPr>
          <w:rFonts w:ascii="Arial" w:hAnsi="Arial" w:cs="Arial"/>
        </w:rPr>
        <w:t xml:space="preserve"> were paid to female consultants, who make up </w:t>
      </w:r>
      <w:r w:rsidRPr="006C47EE">
        <w:rPr>
          <w:rFonts w:ascii="Arial" w:hAnsi="Arial" w:cs="Arial"/>
          <w:b/>
          <w:bCs/>
        </w:rPr>
        <w:t>36.4%</w:t>
      </w:r>
      <w:r>
        <w:rPr>
          <w:rFonts w:ascii="Arial" w:hAnsi="Arial" w:cs="Arial"/>
        </w:rPr>
        <w:t xml:space="preserve"> of all consultant posts. The data is encouraging as it shows a slight decrease since 2021 with the mean GPG decreasing to </w:t>
      </w:r>
      <w:r w:rsidRPr="006C47EE">
        <w:rPr>
          <w:rFonts w:ascii="Arial" w:hAnsi="Arial" w:cs="Arial"/>
          <w:b/>
          <w:bCs/>
        </w:rPr>
        <w:t>45.36%</w:t>
      </w:r>
      <w:r>
        <w:rPr>
          <w:rFonts w:ascii="Arial" w:hAnsi="Arial" w:cs="Arial"/>
        </w:rPr>
        <w:t xml:space="preserve"> from </w:t>
      </w:r>
      <w:r w:rsidRPr="006C47EE">
        <w:rPr>
          <w:rFonts w:ascii="Arial" w:hAnsi="Arial" w:cs="Arial"/>
          <w:b/>
          <w:bCs/>
        </w:rPr>
        <w:t>47.8%</w:t>
      </w:r>
      <w:r>
        <w:rPr>
          <w:rFonts w:ascii="Arial" w:hAnsi="Arial" w:cs="Arial"/>
        </w:rPr>
        <w:t xml:space="preserve"> last year.</w:t>
      </w:r>
    </w:p>
    <w:p w14:paraId="5585166C" w14:textId="50357A24" w:rsidR="000E2EAB" w:rsidRDefault="000E2EAB" w:rsidP="000E2EAB">
      <w:pPr>
        <w:jc w:val="both"/>
        <w:rPr>
          <w:rFonts w:ascii="Arial" w:hAnsi="Arial" w:cs="Arial"/>
        </w:rPr>
      </w:pPr>
      <w:r w:rsidRPr="00AD5EE0">
        <w:rPr>
          <w:rFonts w:ascii="Arial" w:hAnsi="Arial" w:cs="Arial"/>
        </w:rPr>
        <w:t xml:space="preserve">NHS Employers recognise that the current local clinical excellence award system does not </w:t>
      </w:r>
      <w:r w:rsidRPr="00AD5EE0">
        <w:rPr>
          <w:rFonts w:ascii="Arial" w:hAnsi="Arial" w:cs="Arial"/>
        </w:rPr>
        <w:lastRenderedPageBreak/>
        <w:t xml:space="preserve">work and exacerbates inequalities for women, BME colleagues and those that work part-time.  In response to this a consultation commenced in September 2020 with a tripartite </w:t>
      </w:r>
      <w:r>
        <w:rPr>
          <w:rFonts w:ascii="Arial" w:hAnsi="Arial" w:cs="Arial"/>
        </w:rPr>
        <w:t>negotiating group, which includes the Department for Health and Social Care (DHSC) and the British Medical Association (BMA) and the HCSA. Further feedback on potential proposals is expected in April 2022.</w:t>
      </w:r>
    </w:p>
    <w:p w14:paraId="2E9BA9A5" w14:textId="77777777" w:rsidR="009C358B" w:rsidRDefault="009C358B" w:rsidP="000E2EAB">
      <w:pPr>
        <w:jc w:val="both"/>
        <w:rPr>
          <w:rFonts w:ascii="Arial" w:hAnsi="Arial" w:cs="Arial"/>
        </w:rPr>
      </w:pPr>
    </w:p>
    <w:p w14:paraId="6DBA1AC7" w14:textId="77777777" w:rsidR="000E2EAB" w:rsidRDefault="000E2EAB" w:rsidP="000E2EAB">
      <w:pPr>
        <w:rPr>
          <w:rFonts w:ascii="Arial" w:hAnsi="Arial" w:cs="Arial"/>
          <w:color w:val="0B0C0C"/>
          <w:sz w:val="29"/>
          <w:szCs w:val="29"/>
          <w:shd w:val="clear" w:color="auto" w:fill="FFFFFF"/>
        </w:rPr>
      </w:pPr>
      <w:r>
        <w:rPr>
          <w:noProof/>
        </w:rPr>
        <w:drawing>
          <wp:inline distT="0" distB="0" distL="0" distR="0" wp14:anchorId="587EEA49" wp14:editId="61C919A9">
            <wp:extent cx="2590800" cy="2424430"/>
            <wp:effectExtent l="0" t="0" r="0" b="13970"/>
            <wp:docPr id="14" name="Chart 14">
              <a:extLst xmlns:a="http://schemas.openxmlformats.org/drawingml/2006/main">
                <a:ext uri="{FF2B5EF4-FFF2-40B4-BE49-F238E27FC236}">
                  <a16:creationId xmlns:a16="http://schemas.microsoft.com/office/drawing/2014/main" id="{86543B3C-50B9-4469-ADD4-B7E2F0583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rPr>
        <w:drawing>
          <wp:inline distT="0" distB="0" distL="0" distR="0" wp14:anchorId="40E602CA" wp14:editId="5305DDF1">
            <wp:extent cx="2514600" cy="2409190"/>
            <wp:effectExtent l="0" t="0" r="0" b="10160"/>
            <wp:docPr id="15" name="Chart 15">
              <a:extLst xmlns:a="http://schemas.openxmlformats.org/drawingml/2006/main">
                <a:ext uri="{FF2B5EF4-FFF2-40B4-BE49-F238E27FC236}">
                  <a16:creationId xmlns:a16="http://schemas.microsoft.com/office/drawing/2014/main" id="{D6356863-A8DB-41EC-A427-8705F32260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7A23390" w14:textId="77777777" w:rsidR="000E2EAB" w:rsidRDefault="000E2EAB" w:rsidP="000E2EAB">
      <w:pPr>
        <w:rPr>
          <w:rFonts w:ascii="Arial" w:hAnsi="Arial" w:cs="Arial"/>
          <w:b/>
          <w:bCs/>
        </w:rPr>
      </w:pPr>
      <w:r w:rsidRPr="00BC682F">
        <w:rPr>
          <w:rFonts w:ascii="Arial" w:hAnsi="Arial" w:cs="Arial"/>
          <w:b/>
          <w:bCs/>
        </w:rPr>
        <w:t>Mean gender pay gap, bonus</w:t>
      </w:r>
      <w:r>
        <w:rPr>
          <w:rFonts w:ascii="Arial" w:hAnsi="Arial" w:cs="Arial"/>
          <w:b/>
          <w:bCs/>
        </w:rPr>
        <w:t xml:space="preserve"> 45.36%     </w:t>
      </w:r>
      <w:r w:rsidRPr="00BC682F">
        <w:rPr>
          <w:rFonts w:ascii="Arial" w:hAnsi="Arial" w:cs="Arial"/>
          <w:b/>
          <w:bCs/>
        </w:rPr>
        <w:t xml:space="preserve">Median gender pay gap, bonus </w:t>
      </w:r>
      <w:r>
        <w:rPr>
          <w:rFonts w:ascii="Arial" w:hAnsi="Arial" w:cs="Arial"/>
          <w:b/>
          <w:bCs/>
        </w:rPr>
        <w:t>43.89%</w:t>
      </w:r>
    </w:p>
    <w:p w14:paraId="44A0EB1C" w14:textId="77777777" w:rsidR="000E2EAB" w:rsidRPr="00767913" w:rsidRDefault="000E2EAB" w:rsidP="000E2EAB">
      <w:pPr>
        <w:rPr>
          <w:rFonts w:ascii="Arial" w:hAnsi="Arial" w:cs="Arial"/>
          <w:b/>
          <w:bCs/>
        </w:rPr>
      </w:pPr>
    </w:p>
    <w:p w14:paraId="6C687C2B" w14:textId="77777777" w:rsidR="000E2EAB" w:rsidRPr="007515E8" w:rsidRDefault="000E2EAB" w:rsidP="000E2EAB">
      <w:pPr>
        <w:jc w:val="both"/>
        <w:rPr>
          <w:rFonts w:ascii="Arial" w:hAnsi="Arial" w:cs="Arial"/>
          <w:color w:val="0B0C0C"/>
          <w:shd w:val="clear" w:color="auto" w:fill="FFFFFF"/>
        </w:rPr>
      </w:pPr>
      <w:r w:rsidRPr="007515E8">
        <w:rPr>
          <w:rFonts w:ascii="Arial" w:hAnsi="Arial" w:cs="Arial"/>
          <w:color w:val="0B0C0C"/>
          <w:shd w:val="clear" w:color="auto" w:fill="FFFFFF"/>
        </w:rPr>
        <w:t>Following the 2021 consultation on reform of the national Clinical Excellence Awards, the Department of Health and Social Care (</w:t>
      </w:r>
      <w:r w:rsidRPr="007515E8">
        <w:rPr>
          <w:rFonts w:ascii="Arial" w:hAnsi="Arial" w:cs="Arial"/>
        </w:rPr>
        <w:t>DHSC</w:t>
      </w:r>
      <w:r w:rsidRPr="007515E8">
        <w:rPr>
          <w:rFonts w:ascii="Arial" w:hAnsi="Arial" w:cs="Arial"/>
          <w:color w:val="0B0C0C"/>
          <w:shd w:val="clear" w:color="auto" w:fill="FFFFFF"/>
        </w:rPr>
        <w:t xml:space="preserve">) and the Welsh Government have agreed the following changes will be implemented in a revised scheme as the national Clinical Impact Awards. </w:t>
      </w:r>
    </w:p>
    <w:p w14:paraId="7F706624" w14:textId="77777777" w:rsidR="000E2EAB" w:rsidRDefault="000E2EAB" w:rsidP="000E2EAB">
      <w:pPr>
        <w:jc w:val="both"/>
        <w:rPr>
          <w:rStyle w:val="Hyperlink"/>
          <w:rFonts w:ascii="Arial" w:hAnsi="Arial" w:cs="Arial"/>
          <w:shd w:val="clear" w:color="auto" w:fill="FFFFFF"/>
        </w:rPr>
      </w:pPr>
      <w:r w:rsidRPr="007515E8">
        <w:rPr>
          <w:rFonts w:ascii="Arial" w:hAnsi="Arial" w:cs="Arial"/>
          <w:color w:val="0B0C0C"/>
          <w:shd w:val="clear" w:color="auto" w:fill="FFFFFF"/>
        </w:rPr>
        <w:t xml:space="preserve">The awards have been re-branded as the national Clinical </w:t>
      </w:r>
      <w:bookmarkStart w:id="7" w:name="_Hlk125465074"/>
      <w:r>
        <w:rPr>
          <w:rFonts w:ascii="Arial" w:hAnsi="Arial" w:cs="Arial"/>
          <w:color w:val="0B0C0C"/>
          <w:shd w:val="clear" w:color="auto" w:fill="FFFFFF"/>
        </w:rPr>
        <w:t xml:space="preserve">Excellence Awards </w:t>
      </w:r>
      <w:bookmarkEnd w:id="7"/>
      <w:r w:rsidRPr="007515E8">
        <w:rPr>
          <w:rFonts w:ascii="Arial" w:hAnsi="Arial" w:cs="Arial"/>
          <w:color w:val="0B0C0C"/>
          <w:shd w:val="clear" w:color="auto" w:fill="FFFFFF"/>
        </w:rPr>
        <w:t>to reflect to applicants and scorers that the primary focus of the awards is the output of activities, rather than undertaking activities</w:t>
      </w:r>
      <w:r>
        <w:rPr>
          <w:rFonts w:ascii="Arial" w:hAnsi="Arial" w:cs="Arial"/>
          <w:color w:val="0B0C0C"/>
          <w:sz w:val="29"/>
          <w:szCs w:val="29"/>
          <w:shd w:val="clear" w:color="auto" w:fill="FFFFFF"/>
        </w:rPr>
        <w:t xml:space="preserve"> </w:t>
      </w:r>
      <w:r w:rsidRPr="007515E8">
        <w:rPr>
          <w:rFonts w:ascii="Arial" w:hAnsi="Arial" w:cs="Arial"/>
          <w:color w:val="0B0C0C"/>
          <w:shd w:val="clear" w:color="auto" w:fill="FFFFFF"/>
        </w:rPr>
        <w:t xml:space="preserve">in the absence of describing their impact and results. (More Information can be found </w:t>
      </w:r>
      <w:hyperlink r:id="rId21" w:history="1">
        <w:r w:rsidRPr="007515E8">
          <w:rPr>
            <w:rStyle w:val="Hyperlink"/>
            <w:rFonts w:ascii="Arial" w:hAnsi="Arial" w:cs="Arial"/>
            <w:shd w:val="clear" w:color="auto" w:fill="FFFFFF"/>
          </w:rPr>
          <w:t>https://www.gov.uk/government/publications/clinical-excellence-awards-application-guidance/guide-for-applicants-national-clinical-excellence-awards-2021-awards-round</w:t>
        </w:r>
      </w:hyperlink>
    </w:p>
    <w:p w14:paraId="160B8245" w14:textId="77777777" w:rsidR="000E2EAB" w:rsidRDefault="000E2EAB" w:rsidP="000E2EAB">
      <w:pPr>
        <w:rPr>
          <w:rFonts w:ascii="Arial" w:hAnsi="Arial" w:cs="Arial"/>
          <w:b/>
          <w:color w:val="000000" w:themeColor="text1"/>
        </w:rPr>
      </w:pPr>
    </w:p>
    <w:p w14:paraId="52914909" w14:textId="77777777" w:rsidR="000E2EAB" w:rsidRDefault="000E2EAB" w:rsidP="000E2EAB">
      <w:pPr>
        <w:rPr>
          <w:rFonts w:ascii="Arial" w:hAnsi="Arial" w:cs="Arial"/>
          <w:b/>
          <w:color w:val="000000" w:themeColor="text1"/>
        </w:rPr>
      </w:pPr>
      <w:r>
        <w:rPr>
          <w:rFonts w:ascii="Arial" w:hAnsi="Arial" w:cs="Arial"/>
          <w:b/>
          <w:color w:val="000000" w:themeColor="text1"/>
        </w:rPr>
        <w:t>6. Recommendations</w:t>
      </w:r>
    </w:p>
    <w:p w14:paraId="2AABD269" w14:textId="77777777" w:rsidR="000E2EAB" w:rsidRPr="008F480C" w:rsidRDefault="000E2EAB" w:rsidP="000E2EAB">
      <w:pPr>
        <w:jc w:val="both"/>
        <w:rPr>
          <w:rFonts w:ascii="Arial" w:hAnsi="Arial" w:cs="Arial"/>
          <w:b/>
          <w:color w:val="000000" w:themeColor="text1"/>
        </w:rPr>
      </w:pPr>
      <w:r w:rsidRPr="008F480C">
        <w:rPr>
          <w:rFonts w:ascii="Arial" w:hAnsi="Arial" w:cs="Arial"/>
        </w:rPr>
        <w:t>The gap in our mean and median pay and particularly bonus pay, shows there is more work to be done. we will continue to take steps to reduce our pay gap and explore best practice, t</w:t>
      </w:r>
      <w:r>
        <w:rPr>
          <w:rFonts w:ascii="Arial" w:hAnsi="Arial" w:cs="Arial"/>
        </w:rPr>
        <w:t>o support the integration and learning from these findings, the following next steps are proposed:</w:t>
      </w:r>
    </w:p>
    <w:p w14:paraId="1CB3CE74" w14:textId="3B5F979F" w:rsidR="000E2EAB" w:rsidRPr="00B44683" w:rsidRDefault="000E2EAB" w:rsidP="000E2EAB">
      <w:pPr>
        <w:pStyle w:val="ListParagraph"/>
        <w:widowControl/>
        <w:numPr>
          <w:ilvl w:val="0"/>
          <w:numId w:val="19"/>
        </w:numPr>
        <w:jc w:val="both"/>
        <w:rPr>
          <w:rFonts w:ascii="Arial" w:hAnsi="Arial" w:cs="Arial"/>
        </w:rPr>
      </w:pPr>
      <w:r w:rsidRPr="00B44683">
        <w:rPr>
          <w:rFonts w:ascii="Arial" w:hAnsi="Arial" w:cs="Arial"/>
        </w:rPr>
        <w:t xml:space="preserve">Consider and identify specific actions to reduce and eliminate the existing gender pay gap as part of formulating our EDI priorities for </w:t>
      </w:r>
      <w:r w:rsidR="00D0308C">
        <w:rPr>
          <w:rFonts w:ascii="Arial" w:hAnsi="Arial" w:cs="Arial"/>
        </w:rPr>
        <w:t>2022 - 2024.</w:t>
      </w:r>
    </w:p>
    <w:p w14:paraId="7D1AB476" w14:textId="28DFC568" w:rsidR="003A2E44" w:rsidRPr="00B44683" w:rsidRDefault="00B44683" w:rsidP="000E2EAB">
      <w:pPr>
        <w:pStyle w:val="ListParagraph"/>
        <w:widowControl/>
        <w:numPr>
          <w:ilvl w:val="0"/>
          <w:numId w:val="19"/>
        </w:numPr>
        <w:jc w:val="both"/>
        <w:rPr>
          <w:rFonts w:ascii="Arial" w:hAnsi="Arial" w:cs="Arial"/>
        </w:rPr>
      </w:pPr>
      <w:r w:rsidRPr="00B44683">
        <w:rPr>
          <w:rFonts w:ascii="Arial" w:hAnsi="Arial" w:cs="Arial"/>
        </w:rPr>
        <w:t>Support the development of our female leaders through a Senior Leadership Development Programme.</w:t>
      </w:r>
    </w:p>
    <w:p w14:paraId="1245366A" w14:textId="1DF950D8" w:rsidR="00B44683" w:rsidRPr="00B44683" w:rsidRDefault="00B44683" w:rsidP="000E2EAB">
      <w:pPr>
        <w:pStyle w:val="ListParagraph"/>
        <w:widowControl/>
        <w:numPr>
          <w:ilvl w:val="0"/>
          <w:numId w:val="19"/>
        </w:numPr>
        <w:jc w:val="both"/>
        <w:rPr>
          <w:rFonts w:ascii="Arial" w:hAnsi="Arial" w:cs="Arial"/>
        </w:rPr>
      </w:pPr>
      <w:r w:rsidRPr="00B44683">
        <w:rPr>
          <w:rFonts w:ascii="Arial" w:hAnsi="Arial" w:cs="Arial"/>
        </w:rPr>
        <w:lastRenderedPageBreak/>
        <w:t xml:space="preserve">Consider Implementing a Woman’s Network </w:t>
      </w:r>
    </w:p>
    <w:p w14:paraId="3903F67B" w14:textId="77777777" w:rsidR="000E2EAB" w:rsidRPr="00B44683" w:rsidRDefault="000E2EAB" w:rsidP="000E2EAB">
      <w:pPr>
        <w:pStyle w:val="ListParagraph"/>
        <w:widowControl/>
        <w:numPr>
          <w:ilvl w:val="0"/>
          <w:numId w:val="19"/>
        </w:numPr>
        <w:jc w:val="both"/>
        <w:rPr>
          <w:rFonts w:ascii="Arial" w:hAnsi="Arial" w:cs="Arial"/>
        </w:rPr>
      </w:pPr>
      <w:r w:rsidRPr="00B44683">
        <w:rPr>
          <w:rFonts w:ascii="Arial" w:hAnsi="Arial" w:cs="Arial"/>
        </w:rPr>
        <w:t xml:space="preserve">As part of development of our new EDI priorities for 2022 – 24, work to identify specific actions we can take to reduce and eliminate the existing gender pay gap. In line with other EDI activities these will be monitored through the bimonthly Equality, Diversity and Inclusion Steering Group which reports to the People and Organisational Development Committee. </w:t>
      </w:r>
    </w:p>
    <w:p w14:paraId="6813AB51" w14:textId="77777777" w:rsidR="000E2EAB" w:rsidRPr="002054BA" w:rsidRDefault="000E2EAB" w:rsidP="000E2EAB">
      <w:pPr>
        <w:pStyle w:val="ListParagraph"/>
        <w:rPr>
          <w:rFonts w:ascii="Arial" w:hAnsi="Arial" w:cs="Arial"/>
        </w:rPr>
      </w:pPr>
    </w:p>
    <w:p w14:paraId="55A02C13" w14:textId="77777777" w:rsidR="000E2EAB" w:rsidRPr="00C534B3" w:rsidRDefault="000E2EAB" w:rsidP="000E2EAB">
      <w:pPr>
        <w:rPr>
          <w:rFonts w:ascii="Arial" w:hAnsi="Arial" w:cs="Arial"/>
          <w:b/>
          <w:color w:val="000000" w:themeColor="text1"/>
        </w:rPr>
      </w:pPr>
      <w:r>
        <w:rPr>
          <w:rFonts w:ascii="Arial" w:hAnsi="Arial" w:cs="Arial"/>
          <w:b/>
          <w:color w:val="000000" w:themeColor="text1"/>
        </w:rPr>
        <w:t>7</w:t>
      </w:r>
      <w:r w:rsidRPr="00C534B3">
        <w:rPr>
          <w:rFonts w:ascii="Arial" w:hAnsi="Arial" w:cs="Arial"/>
          <w:b/>
          <w:color w:val="000000" w:themeColor="text1"/>
        </w:rPr>
        <w:t>. Conclusion</w:t>
      </w:r>
    </w:p>
    <w:p w14:paraId="7CC7B315" w14:textId="77777777" w:rsidR="000E2EAB" w:rsidRDefault="000E2EAB" w:rsidP="000E2EAB">
      <w:pPr>
        <w:contextualSpacing/>
        <w:jc w:val="both"/>
        <w:rPr>
          <w:rFonts w:ascii="Arial" w:hAnsi="Arial" w:cs="Arial"/>
          <w:color w:val="000000" w:themeColor="text1"/>
        </w:rPr>
      </w:pPr>
      <w:r w:rsidRPr="0067327A">
        <w:rPr>
          <w:rFonts w:ascii="Arial" w:hAnsi="Arial" w:cs="Arial"/>
          <w:color w:val="000000" w:themeColor="text1"/>
        </w:rPr>
        <w:t xml:space="preserve">The Gloucestershire Hospitals NHS Foundation Trust gender pay gap </w:t>
      </w:r>
      <w:r w:rsidRPr="00A26E5C">
        <w:rPr>
          <w:rFonts w:ascii="Arial" w:hAnsi="Arial" w:cs="Arial"/>
          <w:b/>
        </w:rPr>
        <w:t>at 31 March 202</w:t>
      </w:r>
      <w:r>
        <w:rPr>
          <w:rFonts w:ascii="Arial" w:hAnsi="Arial" w:cs="Arial"/>
          <w:b/>
        </w:rPr>
        <w:t xml:space="preserve">2 </w:t>
      </w:r>
      <w:r w:rsidRPr="0067327A">
        <w:rPr>
          <w:rFonts w:ascii="Arial" w:hAnsi="Arial" w:cs="Arial"/>
          <w:color w:val="000000" w:themeColor="text1"/>
        </w:rPr>
        <w:t>is reported at</w:t>
      </w:r>
      <w:r>
        <w:rPr>
          <w:rFonts w:ascii="Arial" w:hAnsi="Arial" w:cs="Arial"/>
          <w:color w:val="000000" w:themeColor="text1"/>
        </w:rPr>
        <w:t>:</w:t>
      </w:r>
    </w:p>
    <w:p w14:paraId="142E3933" w14:textId="5A3AB13F" w:rsidR="000E2EAB" w:rsidRPr="006C47EE" w:rsidRDefault="000E2EAB" w:rsidP="000E2EAB">
      <w:pPr>
        <w:pStyle w:val="ListParagraph"/>
        <w:widowControl/>
        <w:numPr>
          <w:ilvl w:val="0"/>
          <w:numId w:val="18"/>
        </w:numPr>
        <w:jc w:val="both"/>
        <w:rPr>
          <w:rFonts w:ascii="Arial" w:hAnsi="Arial" w:cs="Arial"/>
          <w:b/>
        </w:rPr>
      </w:pPr>
      <w:r w:rsidRPr="006C47EE">
        <w:rPr>
          <w:rFonts w:ascii="Arial" w:hAnsi="Arial" w:cs="Arial"/>
          <w:b/>
        </w:rPr>
        <w:t xml:space="preserve">Median gender pay gap, 21.7% in favour of male </w:t>
      </w:r>
      <w:r w:rsidR="00F264A0">
        <w:rPr>
          <w:rFonts w:ascii="Arial" w:hAnsi="Arial" w:cs="Arial"/>
          <w:b/>
        </w:rPr>
        <w:t>staff</w:t>
      </w:r>
      <w:r w:rsidRPr="006C47EE">
        <w:rPr>
          <w:rFonts w:ascii="Arial" w:hAnsi="Arial" w:cs="Arial"/>
          <w:b/>
        </w:rPr>
        <w:t xml:space="preserve"> (23.4% in 2021)</w:t>
      </w:r>
    </w:p>
    <w:p w14:paraId="4C5503B6" w14:textId="007D8407" w:rsidR="000E2EAB" w:rsidRPr="006C47EE" w:rsidRDefault="000E2EAB" w:rsidP="000E2EAB">
      <w:pPr>
        <w:pStyle w:val="ListParagraph"/>
        <w:widowControl/>
        <w:numPr>
          <w:ilvl w:val="0"/>
          <w:numId w:val="18"/>
        </w:numPr>
        <w:jc w:val="both"/>
        <w:rPr>
          <w:rFonts w:ascii="Arial" w:hAnsi="Arial" w:cs="Arial"/>
          <w:b/>
        </w:rPr>
      </w:pPr>
      <w:r w:rsidRPr="006C47EE">
        <w:rPr>
          <w:rFonts w:ascii="Arial" w:hAnsi="Arial" w:cs="Arial"/>
          <w:b/>
        </w:rPr>
        <w:t xml:space="preserve">Mean pay for men is </w:t>
      </w:r>
      <w:bookmarkStart w:id="8" w:name="_Hlk125125245"/>
      <w:r w:rsidRPr="006C47EE">
        <w:rPr>
          <w:rFonts w:ascii="Arial" w:hAnsi="Arial" w:cs="Arial"/>
          <w:b/>
        </w:rPr>
        <w:t xml:space="preserve">28.2% </w:t>
      </w:r>
      <w:bookmarkEnd w:id="8"/>
      <w:r w:rsidRPr="006C47EE">
        <w:rPr>
          <w:rFonts w:ascii="Arial" w:hAnsi="Arial" w:cs="Arial"/>
          <w:b/>
        </w:rPr>
        <w:t xml:space="preserve">in favour of male </w:t>
      </w:r>
      <w:r w:rsidR="00F264A0">
        <w:rPr>
          <w:rFonts w:ascii="Arial" w:hAnsi="Arial" w:cs="Arial"/>
          <w:b/>
        </w:rPr>
        <w:t>staff</w:t>
      </w:r>
      <w:r w:rsidRPr="006C47EE">
        <w:rPr>
          <w:rFonts w:ascii="Arial" w:hAnsi="Arial" w:cs="Arial"/>
          <w:b/>
        </w:rPr>
        <w:t xml:space="preserve"> 28.5% in 2021 </w:t>
      </w:r>
    </w:p>
    <w:p w14:paraId="747C4112" w14:textId="77777777" w:rsidR="000E2EAB" w:rsidRPr="006C47EE" w:rsidRDefault="000E2EAB" w:rsidP="000E2EAB">
      <w:pPr>
        <w:contextualSpacing/>
        <w:jc w:val="both"/>
        <w:rPr>
          <w:rFonts w:ascii="Arial" w:hAnsi="Arial" w:cs="Arial"/>
          <w:color w:val="000000" w:themeColor="text1"/>
        </w:rPr>
      </w:pPr>
      <w:r w:rsidRPr="006C47EE">
        <w:rPr>
          <w:rFonts w:ascii="Arial" w:hAnsi="Arial" w:cs="Arial"/>
          <w:color w:val="000000" w:themeColor="text1"/>
        </w:rPr>
        <w:t xml:space="preserve">These figures reflect the </w:t>
      </w:r>
      <w:r w:rsidRPr="006C47EE">
        <w:rPr>
          <w:rFonts w:ascii="Arial" w:hAnsi="Arial" w:cs="Arial"/>
          <w:b/>
          <w:color w:val="000000" w:themeColor="text1"/>
          <w:u w:val="single"/>
        </w:rPr>
        <w:t>combined</w:t>
      </w:r>
      <w:r w:rsidRPr="006C47EE">
        <w:rPr>
          <w:rFonts w:ascii="Arial" w:hAnsi="Arial" w:cs="Arial"/>
          <w:color w:val="000000" w:themeColor="text1"/>
        </w:rPr>
        <w:t xml:space="preserve"> gender pay gap of both medical and non-medical staff.  </w:t>
      </w:r>
    </w:p>
    <w:p w14:paraId="5DD93537" w14:textId="77777777" w:rsidR="000E2EAB" w:rsidRPr="006C47EE" w:rsidRDefault="000E2EAB" w:rsidP="000E2EAB">
      <w:pPr>
        <w:contextualSpacing/>
        <w:jc w:val="both"/>
        <w:rPr>
          <w:rFonts w:ascii="Arial" w:hAnsi="Arial" w:cs="Arial"/>
          <w:color w:val="000000" w:themeColor="text1"/>
        </w:rPr>
      </w:pPr>
    </w:p>
    <w:p w14:paraId="70DB6B8D" w14:textId="77777777" w:rsidR="000E2EAB" w:rsidRPr="0067327A" w:rsidRDefault="000E2EAB" w:rsidP="000E2EAB">
      <w:pPr>
        <w:contextualSpacing/>
        <w:jc w:val="both"/>
        <w:rPr>
          <w:rFonts w:ascii="Arial" w:hAnsi="Arial" w:cs="Arial"/>
          <w:color w:val="000000" w:themeColor="text1"/>
        </w:rPr>
      </w:pPr>
      <w:r w:rsidRPr="006C47EE">
        <w:rPr>
          <w:rFonts w:ascii="Arial" w:hAnsi="Arial" w:cs="Arial"/>
          <w:color w:val="000000" w:themeColor="text1"/>
        </w:rPr>
        <w:t xml:space="preserve">The People and OD Committee are asked to </w:t>
      </w:r>
      <w:r w:rsidRPr="006C47EE">
        <w:rPr>
          <w:rFonts w:ascii="Arial" w:hAnsi="Arial" w:cs="Arial"/>
          <w:b/>
          <w:color w:val="000000" w:themeColor="text1"/>
        </w:rPr>
        <w:t>NOTE</w:t>
      </w:r>
      <w:r w:rsidRPr="006C47EE">
        <w:rPr>
          <w:rFonts w:ascii="Arial" w:hAnsi="Arial" w:cs="Arial"/>
          <w:color w:val="000000" w:themeColor="text1"/>
        </w:rPr>
        <w:t xml:space="preserve"> that the gender pay gap can be objectively explained, when we consider the application of terms and conditions which are set nationally and reward length of service.  Furthermore, there is no significant </w:t>
      </w:r>
      <w:r w:rsidRPr="006C47EE">
        <w:rPr>
          <w:rFonts w:ascii="Arial" w:hAnsi="Arial" w:cs="Arial"/>
          <w:b/>
          <w:bCs/>
          <w:color w:val="000000" w:themeColor="text1"/>
        </w:rPr>
        <w:t>(-2%)</w:t>
      </w:r>
      <w:r w:rsidRPr="006C47EE">
        <w:rPr>
          <w:rFonts w:ascii="Arial" w:hAnsi="Arial" w:cs="Arial"/>
          <w:color w:val="000000" w:themeColor="text1"/>
        </w:rPr>
        <w:t xml:space="preserve"> Gender Pay Gap reported across our Non-Medical workforce, which accounts for approximately </w:t>
      </w:r>
      <w:r w:rsidRPr="006C47EE">
        <w:rPr>
          <w:rFonts w:ascii="Arial" w:hAnsi="Arial" w:cs="Arial"/>
          <w:b/>
          <w:color w:val="000000" w:themeColor="text1"/>
        </w:rPr>
        <w:t>85%</w:t>
      </w:r>
      <w:r w:rsidRPr="006C47EE">
        <w:rPr>
          <w:rFonts w:ascii="Arial" w:hAnsi="Arial" w:cs="Arial"/>
          <w:color w:val="000000" w:themeColor="text1"/>
        </w:rPr>
        <w:t xml:space="preserve"> of the total workforce as a result of the agenda for change framework.</w:t>
      </w:r>
    </w:p>
    <w:p w14:paraId="2CB9E1A2" w14:textId="77777777" w:rsidR="000E2EAB" w:rsidRPr="00C534B3" w:rsidRDefault="000E2EAB" w:rsidP="000E2EAB">
      <w:pPr>
        <w:contextualSpacing/>
        <w:jc w:val="both"/>
        <w:rPr>
          <w:rFonts w:ascii="Arial" w:hAnsi="Arial" w:cs="Arial"/>
          <w:color w:val="000000" w:themeColor="text1"/>
        </w:rPr>
      </w:pPr>
    </w:p>
    <w:p w14:paraId="7211BC6B" w14:textId="77777777" w:rsidR="000E2EAB" w:rsidRPr="00C534B3" w:rsidRDefault="000E2EAB" w:rsidP="000E2EAB">
      <w:pPr>
        <w:jc w:val="both"/>
        <w:rPr>
          <w:rFonts w:ascii="Arial" w:hAnsi="Arial" w:cs="Arial"/>
          <w:color w:val="000000" w:themeColor="text1"/>
          <w:u w:val="single"/>
        </w:rPr>
      </w:pPr>
      <w:r w:rsidRPr="00C534B3">
        <w:rPr>
          <w:rFonts w:ascii="Arial" w:hAnsi="Arial" w:cs="Arial"/>
          <w:color w:val="000000" w:themeColor="text1"/>
        </w:rPr>
        <w:t xml:space="preserve">The gender pay report continues to evidence the assumption that the overarching pay gap is associated with length of service of a number of senior male Doctors; with further analysis demonstrating that the number of females both entering the Medical workforce and existing staff within pay quartiles 1-3 will lead to a reverse in this pay gap in future years.  The committee are therefore advised that as such, the current pay gap is </w:t>
      </w:r>
      <w:r>
        <w:rPr>
          <w:rFonts w:ascii="Arial" w:hAnsi="Arial" w:cs="Arial"/>
          <w:color w:val="000000" w:themeColor="text1"/>
        </w:rPr>
        <w:t xml:space="preserve">a consequence of the application nationally driven terms and conditions and </w:t>
      </w:r>
      <w:r w:rsidRPr="007515E8">
        <w:rPr>
          <w:rFonts w:ascii="Arial" w:hAnsi="Arial" w:cs="Arial"/>
          <w:color w:val="0B0C0C"/>
          <w:shd w:val="clear" w:color="auto" w:fill="FFFFFF"/>
        </w:rPr>
        <w:t xml:space="preserve">Clinical </w:t>
      </w:r>
      <w:r>
        <w:rPr>
          <w:rFonts w:ascii="Arial" w:hAnsi="Arial" w:cs="Arial"/>
          <w:color w:val="0B0C0C"/>
          <w:shd w:val="clear" w:color="auto" w:fill="FFFFFF"/>
        </w:rPr>
        <w:t>Excellence Awards</w:t>
      </w:r>
    </w:p>
    <w:p w14:paraId="1838E4D8" w14:textId="5BEAFB7F" w:rsidR="00E502DB" w:rsidRDefault="00E502DB" w:rsidP="007300D4">
      <w:pPr>
        <w:spacing w:after="0" w:line="239" w:lineRule="auto"/>
        <w:ind w:right="90"/>
        <w:jc w:val="both"/>
        <w:rPr>
          <w:rFonts w:ascii="Arial" w:eastAsia="Arial" w:hAnsi="Arial" w:cs="Arial"/>
          <w:spacing w:val="2"/>
        </w:rPr>
      </w:pPr>
    </w:p>
    <w:p w14:paraId="60BF0D01" w14:textId="1C62BF59" w:rsidR="0026468D" w:rsidRDefault="0026468D" w:rsidP="007300D4">
      <w:pPr>
        <w:spacing w:after="0" w:line="239" w:lineRule="auto"/>
        <w:ind w:right="90"/>
        <w:jc w:val="both"/>
        <w:rPr>
          <w:rFonts w:ascii="Arial" w:eastAsia="Arial" w:hAnsi="Arial" w:cs="Arial"/>
          <w:spacing w:val="2"/>
        </w:rPr>
      </w:pPr>
    </w:p>
    <w:p w14:paraId="135386F6" w14:textId="066D45BD" w:rsidR="0026468D" w:rsidRDefault="0026468D" w:rsidP="007300D4">
      <w:pPr>
        <w:spacing w:after="0" w:line="239" w:lineRule="auto"/>
        <w:ind w:right="90"/>
        <w:jc w:val="both"/>
        <w:rPr>
          <w:rFonts w:ascii="Arial" w:eastAsia="Arial" w:hAnsi="Arial" w:cs="Arial"/>
          <w:spacing w:val="2"/>
        </w:rPr>
      </w:pPr>
    </w:p>
    <w:p w14:paraId="6ADD0879" w14:textId="26CADCE2" w:rsidR="0026468D" w:rsidRPr="0026468D" w:rsidRDefault="00566599" w:rsidP="0026468D">
      <w:pPr>
        <w:spacing w:after="0" w:line="239" w:lineRule="auto"/>
        <w:ind w:right="90"/>
        <w:jc w:val="both"/>
        <w:rPr>
          <w:rFonts w:ascii="Arial" w:eastAsia="Arial" w:hAnsi="Arial" w:cs="Arial"/>
          <w:b/>
          <w:bCs/>
          <w:spacing w:val="2"/>
        </w:rPr>
      </w:pPr>
      <w:r>
        <w:rPr>
          <w:rFonts w:ascii="Arial" w:eastAsia="Arial" w:hAnsi="Arial" w:cs="Arial"/>
          <w:b/>
          <w:bCs/>
          <w:spacing w:val="2"/>
        </w:rPr>
        <w:t>*</w:t>
      </w:r>
      <w:r w:rsidR="0026468D" w:rsidRPr="0026468D">
        <w:rPr>
          <w:rFonts w:ascii="Arial" w:eastAsia="Arial" w:hAnsi="Arial" w:cs="Arial"/>
          <w:b/>
          <w:bCs/>
          <w:spacing w:val="2"/>
        </w:rPr>
        <w:t>This is a proposed report subject to approval of the People &amp; Organisational Development Committee in April 2023</w:t>
      </w:r>
      <w:r>
        <w:rPr>
          <w:rFonts w:ascii="Arial" w:eastAsia="Arial" w:hAnsi="Arial" w:cs="Arial"/>
          <w:b/>
          <w:bCs/>
          <w:spacing w:val="2"/>
        </w:rPr>
        <w:t>*</w:t>
      </w:r>
    </w:p>
    <w:sectPr w:rsidR="0026468D" w:rsidRPr="0026468D" w:rsidSect="00AA6C0C">
      <w:headerReference w:type="default" r:id="rId22"/>
      <w:footerReference w:type="default" r:id="rId23"/>
      <w:headerReference w:type="first" r:id="rId24"/>
      <w:footerReference w:type="first" r:id="rId25"/>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9659A2" w14:textId="77777777" w:rsidR="00F865C9" w:rsidRDefault="00F865C9" w:rsidP="001A11D3">
      <w:pPr>
        <w:spacing w:after="0" w:line="240" w:lineRule="auto"/>
      </w:pPr>
      <w:r>
        <w:separator/>
      </w:r>
    </w:p>
  </w:endnote>
  <w:endnote w:type="continuationSeparator" w:id="0">
    <w:p w14:paraId="4ECB3A73" w14:textId="77777777" w:rsidR="00F865C9" w:rsidRDefault="00F865C9" w:rsidP="001A11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321DF" w14:textId="5039EB1C" w:rsidR="00892263" w:rsidRDefault="00892263" w:rsidP="00892263">
    <w:pPr>
      <w:pStyle w:val="Footer"/>
      <w:tabs>
        <w:tab w:val="clear" w:pos="4513"/>
        <w:tab w:val="clear" w:pos="9026"/>
        <w:tab w:val="left" w:pos="0"/>
        <w:tab w:val="left" w:pos="4536"/>
        <w:tab w:val="right" w:pos="9072"/>
      </w:tabs>
      <w:jc w:val="both"/>
      <w:rPr>
        <w:rFonts w:ascii="Arial" w:hAnsi="Arial" w:cs="Arial"/>
        <w:b/>
        <w:i/>
        <w:sz w:val="18"/>
        <w:szCs w:val="18"/>
      </w:rPr>
    </w:pPr>
    <w:r>
      <w:rPr>
        <w:rFonts w:ascii="Arial" w:hAnsi="Arial" w:cs="Arial"/>
        <w:i/>
        <w:sz w:val="18"/>
        <w:szCs w:val="18"/>
      </w:rPr>
      <w:t>[</w:t>
    </w:r>
    <w:r w:rsidR="009C358B">
      <w:rPr>
        <w:rFonts w:ascii="Arial" w:hAnsi="Arial" w:cs="Arial"/>
        <w:i/>
        <w:sz w:val="18"/>
        <w:szCs w:val="18"/>
      </w:rPr>
      <w:t>GHFT Gender Pay Gap Report</w:t>
    </w:r>
    <w:r>
      <w:rPr>
        <w:rFonts w:ascii="Arial" w:hAnsi="Arial" w:cs="Arial"/>
        <w:i/>
        <w:sz w:val="18"/>
        <w:szCs w:val="18"/>
      </w:rPr>
      <w:t>]</w:t>
    </w:r>
    <w:r>
      <w:rPr>
        <w:rFonts w:ascii="Arial" w:hAnsi="Arial" w:cs="Arial"/>
        <w:i/>
        <w:sz w:val="18"/>
        <w:szCs w:val="18"/>
      </w:rPr>
      <w:tab/>
    </w:r>
    <w:r>
      <w:rPr>
        <w:rFonts w:ascii="Arial" w:hAnsi="Arial" w:cs="Arial"/>
        <w:i/>
        <w:sz w:val="18"/>
        <w:szCs w:val="18"/>
      </w:rPr>
      <w:tab/>
      <w:t xml:space="preserve">Page </w:t>
    </w:r>
    <w:r>
      <w:rPr>
        <w:rFonts w:ascii="Arial" w:hAnsi="Arial" w:cs="Arial"/>
        <w:b/>
        <w:i/>
        <w:sz w:val="18"/>
        <w:szCs w:val="18"/>
      </w:rPr>
      <w:fldChar w:fldCharType="begin"/>
    </w:r>
    <w:r>
      <w:rPr>
        <w:rFonts w:ascii="Arial" w:hAnsi="Arial" w:cs="Arial"/>
        <w:b/>
        <w:i/>
        <w:sz w:val="18"/>
        <w:szCs w:val="18"/>
      </w:rPr>
      <w:instrText xml:space="preserve"> PAGE  \* Arabic  \* MERGEFORMAT </w:instrText>
    </w:r>
    <w:r>
      <w:rPr>
        <w:rFonts w:ascii="Arial" w:hAnsi="Arial" w:cs="Arial"/>
        <w:b/>
        <w:i/>
        <w:sz w:val="18"/>
        <w:szCs w:val="18"/>
      </w:rPr>
      <w:fldChar w:fldCharType="separate"/>
    </w:r>
    <w:r>
      <w:rPr>
        <w:rFonts w:ascii="Arial" w:hAnsi="Arial" w:cs="Arial"/>
        <w:b/>
        <w:i/>
        <w:noProof/>
        <w:sz w:val="18"/>
        <w:szCs w:val="18"/>
      </w:rPr>
      <w:t>2</w:t>
    </w:r>
    <w:r>
      <w:rPr>
        <w:rFonts w:ascii="Arial" w:hAnsi="Arial" w:cs="Arial"/>
        <w:b/>
        <w:i/>
        <w:sz w:val="18"/>
        <w:szCs w:val="18"/>
      </w:rPr>
      <w:fldChar w:fldCharType="end"/>
    </w:r>
    <w:r>
      <w:rPr>
        <w:rFonts w:ascii="Arial" w:hAnsi="Arial" w:cs="Arial"/>
        <w:i/>
        <w:sz w:val="18"/>
        <w:szCs w:val="18"/>
      </w:rPr>
      <w:t xml:space="preserve"> of </w:t>
    </w:r>
    <w:r>
      <w:rPr>
        <w:rFonts w:ascii="Arial" w:hAnsi="Arial" w:cs="Arial"/>
        <w:b/>
        <w:i/>
        <w:sz w:val="18"/>
        <w:szCs w:val="18"/>
      </w:rPr>
      <w:fldChar w:fldCharType="begin"/>
    </w:r>
    <w:r>
      <w:rPr>
        <w:rFonts w:ascii="Arial" w:hAnsi="Arial" w:cs="Arial"/>
        <w:b/>
        <w:i/>
        <w:sz w:val="18"/>
        <w:szCs w:val="18"/>
      </w:rPr>
      <w:instrText xml:space="preserve"> NUMPAGES  \* Arabic  \* MERGEFORMAT </w:instrText>
    </w:r>
    <w:r>
      <w:rPr>
        <w:rFonts w:ascii="Arial" w:hAnsi="Arial" w:cs="Arial"/>
        <w:b/>
        <w:i/>
        <w:sz w:val="18"/>
        <w:szCs w:val="18"/>
      </w:rPr>
      <w:fldChar w:fldCharType="separate"/>
    </w:r>
    <w:r>
      <w:rPr>
        <w:rFonts w:ascii="Arial" w:hAnsi="Arial" w:cs="Arial"/>
        <w:b/>
        <w:i/>
        <w:noProof/>
        <w:sz w:val="18"/>
        <w:szCs w:val="18"/>
      </w:rPr>
      <w:t>2</w:t>
    </w:r>
    <w:r>
      <w:rPr>
        <w:rFonts w:ascii="Arial" w:hAnsi="Arial" w:cs="Arial"/>
        <w:b/>
        <w:i/>
        <w:sz w:val="18"/>
        <w:szCs w:val="18"/>
      </w:rPr>
      <w:fldChar w:fldCharType="end"/>
    </w:r>
  </w:p>
  <w:p w14:paraId="3DE733C4" w14:textId="38CA616E" w:rsidR="008A65E1" w:rsidRPr="00892263" w:rsidRDefault="00892263" w:rsidP="00B5116B">
    <w:pPr>
      <w:pStyle w:val="Footer"/>
      <w:tabs>
        <w:tab w:val="clear" w:pos="4513"/>
        <w:tab w:val="clear" w:pos="9026"/>
        <w:tab w:val="left" w:pos="0"/>
        <w:tab w:val="left" w:pos="4536"/>
        <w:tab w:val="right" w:pos="9072"/>
      </w:tabs>
      <w:jc w:val="both"/>
      <w:rPr>
        <w:rFonts w:ascii="Arial" w:hAnsi="Arial" w:cs="Arial"/>
        <w:i/>
        <w:sz w:val="18"/>
        <w:szCs w:val="18"/>
      </w:rPr>
    </w:pPr>
    <w:r w:rsidRPr="00892263">
      <w:rPr>
        <w:rFonts w:ascii="Arial" w:hAnsi="Arial" w:cs="Arial"/>
        <w:i/>
        <w:sz w:val="18"/>
        <w:szCs w:val="18"/>
      </w:rPr>
      <w:t>[</w:t>
    </w:r>
    <w:r w:rsidR="009C358B">
      <w:rPr>
        <w:rFonts w:ascii="Arial" w:hAnsi="Arial" w:cs="Arial"/>
        <w:i/>
        <w:sz w:val="18"/>
        <w:szCs w:val="18"/>
      </w:rPr>
      <w:t>People &amp; OD Committee</w:t>
    </w:r>
    <w:r w:rsidRPr="00892263">
      <w:rPr>
        <w:rFonts w:ascii="Arial" w:hAnsi="Arial" w:cs="Arial"/>
        <w:i/>
        <w:sz w:val="18"/>
        <w:szCs w:val="18"/>
      </w:rPr>
      <w:t xml:space="preserve"> – </w:t>
    </w:r>
    <w:r w:rsidR="009C358B">
      <w:rPr>
        <w:rFonts w:ascii="Arial" w:hAnsi="Arial" w:cs="Arial"/>
        <w:i/>
        <w:sz w:val="18"/>
        <w:szCs w:val="18"/>
      </w:rPr>
      <w:t>February 2023</w:t>
    </w:r>
    <w:r w:rsidRPr="00892263">
      <w:rPr>
        <w:rFonts w:ascii="Arial" w:hAnsi="Arial" w:cs="Arial"/>
        <w:i/>
        <w:sz w:val="18"/>
        <w:szCs w:val="18"/>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2E169" w14:textId="77777777" w:rsidR="008A65E1" w:rsidRDefault="008A65E1" w:rsidP="00B5116B">
    <w:pPr>
      <w:pStyle w:val="Footer"/>
      <w:tabs>
        <w:tab w:val="clear" w:pos="4513"/>
        <w:tab w:val="clear" w:pos="9026"/>
        <w:tab w:val="left" w:pos="0"/>
        <w:tab w:val="left" w:pos="4536"/>
        <w:tab w:val="right" w:pos="9072"/>
      </w:tabs>
      <w:jc w:val="both"/>
      <w:rPr>
        <w:rFonts w:ascii="Arial" w:hAnsi="Arial" w:cs="Arial"/>
        <w:b/>
        <w:i/>
        <w:sz w:val="18"/>
        <w:szCs w:val="18"/>
      </w:rPr>
    </w:pPr>
    <w:r>
      <w:rPr>
        <w:rFonts w:ascii="Arial" w:hAnsi="Arial" w:cs="Arial"/>
        <w:i/>
        <w:sz w:val="18"/>
        <w:szCs w:val="18"/>
      </w:rPr>
      <w:t>[Title of Paper]</w:t>
    </w:r>
    <w:r>
      <w:rPr>
        <w:rFonts w:ascii="Arial" w:hAnsi="Arial" w:cs="Arial"/>
        <w:i/>
        <w:sz w:val="18"/>
        <w:szCs w:val="18"/>
      </w:rPr>
      <w:tab/>
    </w:r>
    <w:r>
      <w:rPr>
        <w:rFonts w:ascii="Arial" w:hAnsi="Arial" w:cs="Arial"/>
        <w:i/>
        <w:sz w:val="18"/>
        <w:szCs w:val="18"/>
      </w:rPr>
      <w:tab/>
      <w:t xml:space="preserve">Page </w:t>
    </w:r>
    <w:r>
      <w:rPr>
        <w:rFonts w:ascii="Arial" w:hAnsi="Arial" w:cs="Arial"/>
        <w:b/>
        <w:i/>
        <w:sz w:val="18"/>
        <w:szCs w:val="18"/>
      </w:rPr>
      <w:fldChar w:fldCharType="begin"/>
    </w:r>
    <w:r>
      <w:rPr>
        <w:rFonts w:ascii="Arial" w:hAnsi="Arial" w:cs="Arial"/>
        <w:b/>
        <w:i/>
        <w:sz w:val="18"/>
        <w:szCs w:val="18"/>
      </w:rPr>
      <w:instrText xml:space="preserve"> PAGE  \* Arabic  \* MERGEFORMAT </w:instrText>
    </w:r>
    <w:r>
      <w:rPr>
        <w:rFonts w:ascii="Arial" w:hAnsi="Arial" w:cs="Arial"/>
        <w:b/>
        <w:i/>
        <w:sz w:val="18"/>
        <w:szCs w:val="18"/>
      </w:rPr>
      <w:fldChar w:fldCharType="separate"/>
    </w:r>
    <w:r w:rsidR="00892263">
      <w:rPr>
        <w:rFonts w:ascii="Arial" w:hAnsi="Arial" w:cs="Arial"/>
        <w:b/>
        <w:i/>
        <w:noProof/>
        <w:sz w:val="18"/>
        <w:szCs w:val="18"/>
      </w:rPr>
      <w:t>1</w:t>
    </w:r>
    <w:r>
      <w:rPr>
        <w:rFonts w:ascii="Arial" w:hAnsi="Arial" w:cs="Arial"/>
        <w:b/>
        <w:i/>
        <w:sz w:val="18"/>
        <w:szCs w:val="18"/>
      </w:rPr>
      <w:fldChar w:fldCharType="end"/>
    </w:r>
    <w:r>
      <w:rPr>
        <w:rFonts w:ascii="Arial" w:hAnsi="Arial" w:cs="Arial"/>
        <w:i/>
        <w:sz w:val="18"/>
        <w:szCs w:val="18"/>
      </w:rPr>
      <w:t xml:space="preserve"> of </w:t>
    </w:r>
    <w:r>
      <w:rPr>
        <w:rFonts w:ascii="Arial" w:hAnsi="Arial" w:cs="Arial"/>
        <w:b/>
        <w:i/>
        <w:sz w:val="18"/>
        <w:szCs w:val="18"/>
      </w:rPr>
      <w:fldChar w:fldCharType="begin"/>
    </w:r>
    <w:r>
      <w:rPr>
        <w:rFonts w:ascii="Arial" w:hAnsi="Arial" w:cs="Arial"/>
        <w:b/>
        <w:i/>
        <w:sz w:val="18"/>
        <w:szCs w:val="18"/>
      </w:rPr>
      <w:instrText xml:space="preserve"> NUMPAGES  \* Arabic  \* MERGEFORMAT </w:instrText>
    </w:r>
    <w:r>
      <w:rPr>
        <w:rFonts w:ascii="Arial" w:hAnsi="Arial" w:cs="Arial"/>
        <w:b/>
        <w:i/>
        <w:sz w:val="18"/>
        <w:szCs w:val="18"/>
      </w:rPr>
      <w:fldChar w:fldCharType="separate"/>
    </w:r>
    <w:r w:rsidR="00892263">
      <w:rPr>
        <w:rFonts w:ascii="Arial" w:hAnsi="Arial" w:cs="Arial"/>
        <w:b/>
        <w:i/>
        <w:noProof/>
        <w:sz w:val="18"/>
        <w:szCs w:val="18"/>
      </w:rPr>
      <w:t>2</w:t>
    </w:r>
    <w:r>
      <w:rPr>
        <w:rFonts w:ascii="Arial" w:hAnsi="Arial" w:cs="Arial"/>
        <w:b/>
        <w:i/>
        <w:sz w:val="18"/>
        <w:szCs w:val="18"/>
      </w:rPr>
      <w:fldChar w:fldCharType="end"/>
    </w:r>
  </w:p>
  <w:p w14:paraId="27EE79A6" w14:textId="77777777" w:rsidR="008A65E1" w:rsidRPr="00892263" w:rsidRDefault="00892263" w:rsidP="00B5116B">
    <w:pPr>
      <w:pStyle w:val="Footer"/>
      <w:tabs>
        <w:tab w:val="clear" w:pos="4513"/>
        <w:tab w:val="clear" w:pos="9026"/>
        <w:tab w:val="left" w:pos="0"/>
        <w:tab w:val="left" w:pos="4536"/>
        <w:tab w:val="right" w:pos="9072"/>
      </w:tabs>
      <w:jc w:val="both"/>
      <w:rPr>
        <w:rFonts w:ascii="Arial" w:hAnsi="Arial" w:cs="Arial"/>
        <w:i/>
        <w:sz w:val="18"/>
        <w:szCs w:val="18"/>
      </w:rPr>
    </w:pPr>
    <w:r w:rsidRPr="00892263">
      <w:rPr>
        <w:rFonts w:ascii="Arial" w:hAnsi="Arial" w:cs="Arial"/>
        <w:i/>
        <w:sz w:val="18"/>
        <w:szCs w:val="18"/>
      </w:rPr>
      <w:t>[Name of Committee – Month Year]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BB6F5A" w14:textId="77777777" w:rsidR="00F865C9" w:rsidRDefault="00F865C9" w:rsidP="001A11D3">
      <w:pPr>
        <w:spacing w:after="0" w:line="240" w:lineRule="auto"/>
      </w:pPr>
      <w:r>
        <w:separator/>
      </w:r>
    </w:p>
  </w:footnote>
  <w:footnote w:type="continuationSeparator" w:id="0">
    <w:p w14:paraId="04BA21D3" w14:textId="77777777" w:rsidR="00F865C9" w:rsidRDefault="00F865C9" w:rsidP="001A11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EF77B" w14:textId="77777777" w:rsidR="008A65E1" w:rsidRDefault="008A65E1">
    <w:pPr>
      <w:pStyle w:val="Header"/>
    </w:pPr>
  </w:p>
  <w:p w14:paraId="5599295C" w14:textId="77777777" w:rsidR="008A65E1" w:rsidRDefault="008A65E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56F99" w14:textId="77777777" w:rsidR="008A65E1" w:rsidRDefault="008A65E1">
    <w:pPr>
      <w:pStyle w:val="Header"/>
    </w:pPr>
    <w:r>
      <w:rPr>
        <w:noProof/>
        <w:lang w:val="en-GB" w:eastAsia="en-GB"/>
      </w:rPr>
      <w:drawing>
        <wp:inline distT="0" distB="0" distL="0" distR="0" wp14:anchorId="1875CD0C" wp14:editId="7A47F409">
          <wp:extent cx="5731510" cy="643255"/>
          <wp:effectExtent l="0" t="0" r="2540" b="4445"/>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5731510" cy="643255"/>
                  </a:xfrm>
                  <a:prstGeom prst="rect">
                    <a:avLst/>
                  </a:prstGeom>
                </pic:spPr>
              </pic:pic>
            </a:graphicData>
          </a:graphic>
        </wp:inline>
      </w:drawing>
    </w:r>
  </w:p>
  <w:p w14:paraId="49C6EEBD" w14:textId="77777777" w:rsidR="008A65E1" w:rsidRDefault="008A65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103F49"/>
    <w:multiLevelType w:val="hybridMultilevel"/>
    <w:tmpl w:val="296ECD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8477765"/>
    <w:multiLevelType w:val="hybridMultilevel"/>
    <w:tmpl w:val="D8B2A5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3E63092"/>
    <w:multiLevelType w:val="hybridMultilevel"/>
    <w:tmpl w:val="0A363B5A"/>
    <w:lvl w:ilvl="0" w:tplc="B70248FA">
      <w:start w:val="2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C6312B"/>
    <w:multiLevelType w:val="hybridMultilevel"/>
    <w:tmpl w:val="702EEEB2"/>
    <w:lvl w:ilvl="0" w:tplc="82DCC1E2">
      <w:start w:val="13"/>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CD02BFF"/>
    <w:multiLevelType w:val="hybridMultilevel"/>
    <w:tmpl w:val="6FD6FAFA"/>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496C08B5"/>
    <w:multiLevelType w:val="hybridMultilevel"/>
    <w:tmpl w:val="5E9C03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C510E94"/>
    <w:multiLevelType w:val="hybridMultilevel"/>
    <w:tmpl w:val="C29EAC36"/>
    <w:lvl w:ilvl="0" w:tplc="7616919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F2D4A0A"/>
    <w:multiLevelType w:val="hybridMultilevel"/>
    <w:tmpl w:val="4238B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0F63A7F"/>
    <w:multiLevelType w:val="hybridMultilevel"/>
    <w:tmpl w:val="AB9C034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51D21FF9"/>
    <w:multiLevelType w:val="hybridMultilevel"/>
    <w:tmpl w:val="7E3EB0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5916623D"/>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5EAA61C6"/>
    <w:multiLevelType w:val="hybridMultilevel"/>
    <w:tmpl w:val="54B879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EF05BC4"/>
    <w:multiLevelType w:val="hybridMultilevel"/>
    <w:tmpl w:val="2D20803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4A02909"/>
    <w:multiLevelType w:val="hybridMultilevel"/>
    <w:tmpl w:val="F6D60F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52218BA"/>
    <w:multiLevelType w:val="multilevel"/>
    <w:tmpl w:val="106C473C"/>
    <w:lvl w:ilvl="0">
      <w:start w:val="1"/>
      <w:numFmt w:val="decimal"/>
      <w:lvlText w:val="%1."/>
      <w:lvlJc w:val="left"/>
      <w:pPr>
        <w:ind w:left="360" w:hanging="360"/>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73380681"/>
    <w:multiLevelType w:val="hybridMultilevel"/>
    <w:tmpl w:val="0C5EAE3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4EC484B"/>
    <w:multiLevelType w:val="hybridMultilevel"/>
    <w:tmpl w:val="63040A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75146300"/>
    <w:multiLevelType w:val="hybridMultilevel"/>
    <w:tmpl w:val="3EF21E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75D25119"/>
    <w:multiLevelType w:val="hybridMultilevel"/>
    <w:tmpl w:val="D8502C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C534F8C"/>
    <w:multiLevelType w:val="hybridMultilevel"/>
    <w:tmpl w:val="066C9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0991666">
    <w:abstractNumId w:val="4"/>
  </w:num>
  <w:num w:numId="2" w16cid:durableId="546452332">
    <w:abstractNumId w:val="5"/>
  </w:num>
  <w:num w:numId="3" w16cid:durableId="288442125">
    <w:abstractNumId w:val="15"/>
  </w:num>
  <w:num w:numId="4" w16cid:durableId="663975527">
    <w:abstractNumId w:val="13"/>
  </w:num>
  <w:num w:numId="5" w16cid:durableId="1153182619">
    <w:abstractNumId w:val="12"/>
  </w:num>
  <w:num w:numId="6" w16cid:durableId="468596516">
    <w:abstractNumId w:val="3"/>
  </w:num>
  <w:num w:numId="7" w16cid:durableId="1709136593">
    <w:abstractNumId w:val="1"/>
  </w:num>
  <w:num w:numId="8" w16cid:durableId="812790507">
    <w:abstractNumId w:val="17"/>
  </w:num>
  <w:num w:numId="9" w16cid:durableId="409812075">
    <w:abstractNumId w:val="16"/>
  </w:num>
  <w:num w:numId="10" w16cid:durableId="1492479753">
    <w:abstractNumId w:val="9"/>
  </w:num>
  <w:num w:numId="11" w16cid:durableId="1780907494">
    <w:abstractNumId w:val="18"/>
  </w:num>
  <w:num w:numId="12" w16cid:durableId="1514415597">
    <w:abstractNumId w:val="11"/>
  </w:num>
  <w:num w:numId="13" w16cid:durableId="20594541">
    <w:abstractNumId w:val="2"/>
  </w:num>
  <w:num w:numId="14" w16cid:durableId="124979351">
    <w:abstractNumId w:val="14"/>
  </w:num>
  <w:num w:numId="15" w16cid:durableId="2062291831">
    <w:abstractNumId w:val="10"/>
  </w:num>
  <w:num w:numId="16" w16cid:durableId="776339772">
    <w:abstractNumId w:val="0"/>
  </w:num>
  <w:num w:numId="17" w16cid:durableId="554126300">
    <w:abstractNumId w:val="19"/>
  </w:num>
  <w:num w:numId="18" w16cid:durableId="1573730563">
    <w:abstractNumId w:val="8"/>
  </w:num>
  <w:num w:numId="19" w16cid:durableId="233009966">
    <w:abstractNumId w:val="7"/>
  </w:num>
  <w:num w:numId="20" w16cid:durableId="206821459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11D3"/>
    <w:rsid w:val="00016185"/>
    <w:rsid w:val="00017476"/>
    <w:rsid w:val="000202FD"/>
    <w:rsid w:val="000272A5"/>
    <w:rsid w:val="00060D2E"/>
    <w:rsid w:val="000669E8"/>
    <w:rsid w:val="00076311"/>
    <w:rsid w:val="00080549"/>
    <w:rsid w:val="000A15F6"/>
    <w:rsid w:val="000A2672"/>
    <w:rsid w:val="000E0724"/>
    <w:rsid w:val="000E2EAB"/>
    <w:rsid w:val="000E2F54"/>
    <w:rsid w:val="000F4C76"/>
    <w:rsid w:val="000F664D"/>
    <w:rsid w:val="0016484C"/>
    <w:rsid w:val="00164C6D"/>
    <w:rsid w:val="00175AA7"/>
    <w:rsid w:val="00184EE1"/>
    <w:rsid w:val="001A11D3"/>
    <w:rsid w:val="001C186A"/>
    <w:rsid w:val="00205DD5"/>
    <w:rsid w:val="002067F2"/>
    <w:rsid w:val="00210BE2"/>
    <w:rsid w:val="00220455"/>
    <w:rsid w:val="002220B3"/>
    <w:rsid w:val="00225FB1"/>
    <w:rsid w:val="0022652C"/>
    <w:rsid w:val="00230792"/>
    <w:rsid w:val="00252E86"/>
    <w:rsid w:val="0026468D"/>
    <w:rsid w:val="00273561"/>
    <w:rsid w:val="00294787"/>
    <w:rsid w:val="002A1883"/>
    <w:rsid w:val="002B3378"/>
    <w:rsid w:val="002E32F4"/>
    <w:rsid w:val="002F3B31"/>
    <w:rsid w:val="003119F4"/>
    <w:rsid w:val="003177B1"/>
    <w:rsid w:val="00323D3B"/>
    <w:rsid w:val="00334E02"/>
    <w:rsid w:val="00343778"/>
    <w:rsid w:val="003769C1"/>
    <w:rsid w:val="003A13FA"/>
    <w:rsid w:val="003A148E"/>
    <w:rsid w:val="003A2E44"/>
    <w:rsid w:val="003C1339"/>
    <w:rsid w:val="003C54B5"/>
    <w:rsid w:val="003C5A0F"/>
    <w:rsid w:val="00415993"/>
    <w:rsid w:val="00430792"/>
    <w:rsid w:val="004618A5"/>
    <w:rsid w:val="00473F62"/>
    <w:rsid w:val="00474470"/>
    <w:rsid w:val="00477E9D"/>
    <w:rsid w:val="00484630"/>
    <w:rsid w:val="00485E18"/>
    <w:rsid w:val="004904A8"/>
    <w:rsid w:val="00493500"/>
    <w:rsid w:val="004A7F47"/>
    <w:rsid w:val="004E1403"/>
    <w:rsid w:val="004E73F3"/>
    <w:rsid w:val="004F346B"/>
    <w:rsid w:val="004F5902"/>
    <w:rsid w:val="00524F7B"/>
    <w:rsid w:val="00554044"/>
    <w:rsid w:val="00566599"/>
    <w:rsid w:val="00592486"/>
    <w:rsid w:val="005B309E"/>
    <w:rsid w:val="005D7CB4"/>
    <w:rsid w:val="005E75B1"/>
    <w:rsid w:val="005F0C4B"/>
    <w:rsid w:val="005F1FDA"/>
    <w:rsid w:val="005F4E56"/>
    <w:rsid w:val="006125ED"/>
    <w:rsid w:val="0062356F"/>
    <w:rsid w:val="00634686"/>
    <w:rsid w:val="00635B2D"/>
    <w:rsid w:val="006475EE"/>
    <w:rsid w:val="0068368E"/>
    <w:rsid w:val="006B0D02"/>
    <w:rsid w:val="006B2C35"/>
    <w:rsid w:val="006D13BD"/>
    <w:rsid w:val="006D311C"/>
    <w:rsid w:val="006F2D07"/>
    <w:rsid w:val="006F6D1D"/>
    <w:rsid w:val="0071575A"/>
    <w:rsid w:val="007300D4"/>
    <w:rsid w:val="00731F18"/>
    <w:rsid w:val="007344FC"/>
    <w:rsid w:val="00747FDA"/>
    <w:rsid w:val="007706B9"/>
    <w:rsid w:val="00777B33"/>
    <w:rsid w:val="007846ED"/>
    <w:rsid w:val="00792453"/>
    <w:rsid w:val="007D207F"/>
    <w:rsid w:val="007E1D07"/>
    <w:rsid w:val="007E6373"/>
    <w:rsid w:val="0086203F"/>
    <w:rsid w:val="00890996"/>
    <w:rsid w:val="00892263"/>
    <w:rsid w:val="008A38F0"/>
    <w:rsid w:val="008A65E1"/>
    <w:rsid w:val="008B0503"/>
    <w:rsid w:val="008D40C2"/>
    <w:rsid w:val="008D52FA"/>
    <w:rsid w:val="0090064F"/>
    <w:rsid w:val="00921EBB"/>
    <w:rsid w:val="00944901"/>
    <w:rsid w:val="00967A35"/>
    <w:rsid w:val="0097718F"/>
    <w:rsid w:val="009C358B"/>
    <w:rsid w:val="009D4268"/>
    <w:rsid w:val="009E0427"/>
    <w:rsid w:val="00A35C33"/>
    <w:rsid w:val="00A41EF4"/>
    <w:rsid w:val="00A44964"/>
    <w:rsid w:val="00A716E8"/>
    <w:rsid w:val="00A869D0"/>
    <w:rsid w:val="00AA099E"/>
    <w:rsid w:val="00AA4E8A"/>
    <w:rsid w:val="00AA5900"/>
    <w:rsid w:val="00AA6C0C"/>
    <w:rsid w:val="00AC568B"/>
    <w:rsid w:val="00AD5A8B"/>
    <w:rsid w:val="00AE1A83"/>
    <w:rsid w:val="00B03A30"/>
    <w:rsid w:val="00B11384"/>
    <w:rsid w:val="00B3143E"/>
    <w:rsid w:val="00B44683"/>
    <w:rsid w:val="00B5116B"/>
    <w:rsid w:val="00B56BB3"/>
    <w:rsid w:val="00B83710"/>
    <w:rsid w:val="00B872A5"/>
    <w:rsid w:val="00BA19F3"/>
    <w:rsid w:val="00BB6A63"/>
    <w:rsid w:val="00BB7B51"/>
    <w:rsid w:val="00BC066E"/>
    <w:rsid w:val="00BD6779"/>
    <w:rsid w:val="00BF5E0C"/>
    <w:rsid w:val="00BF6883"/>
    <w:rsid w:val="00C35362"/>
    <w:rsid w:val="00C80928"/>
    <w:rsid w:val="00C81A65"/>
    <w:rsid w:val="00C94F28"/>
    <w:rsid w:val="00CA6449"/>
    <w:rsid w:val="00CA746B"/>
    <w:rsid w:val="00CB41CC"/>
    <w:rsid w:val="00CD22D6"/>
    <w:rsid w:val="00CE665F"/>
    <w:rsid w:val="00CE69A6"/>
    <w:rsid w:val="00D0308C"/>
    <w:rsid w:val="00D110E7"/>
    <w:rsid w:val="00D261E7"/>
    <w:rsid w:val="00D8152C"/>
    <w:rsid w:val="00D84C62"/>
    <w:rsid w:val="00D9699C"/>
    <w:rsid w:val="00DB2A11"/>
    <w:rsid w:val="00DB33D7"/>
    <w:rsid w:val="00DD114E"/>
    <w:rsid w:val="00DD5932"/>
    <w:rsid w:val="00DE57A7"/>
    <w:rsid w:val="00E0777A"/>
    <w:rsid w:val="00E40E6F"/>
    <w:rsid w:val="00E502DB"/>
    <w:rsid w:val="00E50320"/>
    <w:rsid w:val="00EA2152"/>
    <w:rsid w:val="00EB00F6"/>
    <w:rsid w:val="00EB07F9"/>
    <w:rsid w:val="00EB5D7D"/>
    <w:rsid w:val="00EC4625"/>
    <w:rsid w:val="00ED34F9"/>
    <w:rsid w:val="00EE4D02"/>
    <w:rsid w:val="00F04BA9"/>
    <w:rsid w:val="00F264A0"/>
    <w:rsid w:val="00F60906"/>
    <w:rsid w:val="00F63BB5"/>
    <w:rsid w:val="00F72858"/>
    <w:rsid w:val="00F76A0D"/>
    <w:rsid w:val="00F8447D"/>
    <w:rsid w:val="00F865C9"/>
    <w:rsid w:val="00F96E79"/>
    <w:rsid w:val="00FC26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1C720C"/>
  <w15:docId w15:val="{3A3E2430-F69B-4756-B5EE-F9BEC02C2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11D3"/>
    <w:pPr>
      <w:widowControl w:val="0"/>
      <w:spacing w:after="200" w:line="276"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A11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A11D3"/>
  </w:style>
  <w:style w:type="paragraph" w:styleId="Footer">
    <w:name w:val="footer"/>
    <w:basedOn w:val="Normal"/>
    <w:link w:val="FooterChar"/>
    <w:uiPriority w:val="99"/>
    <w:unhideWhenUsed/>
    <w:rsid w:val="001A11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A11D3"/>
  </w:style>
  <w:style w:type="table" w:styleId="TableGrid">
    <w:name w:val="Table Grid"/>
    <w:basedOn w:val="TableNormal"/>
    <w:uiPriority w:val="59"/>
    <w:rsid w:val="001A11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7344FC"/>
    <w:pPr>
      <w:ind w:left="720"/>
      <w:contextualSpacing/>
    </w:pPr>
  </w:style>
  <w:style w:type="paragraph" w:styleId="BalloonText">
    <w:name w:val="Balloon Text"/>
    <w:basedOn w:val="Normal"/>
    <w:link w:val="BalloonTextChar"/>
    <w:uiPriority w:val="99"/>
    <w:semiHidden/>
    <w:unhideWhenUsed/>
    <w:rsid w:val="004F34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F346B"/>
    <w:rPr>
      <w:rFonts w:ascii="Tahoma" w:hAnsi="Tahoma" w:cs="Tahoma"/>
      <w:sz w:val="16"/>
      <w:szCs w:val="16"/>
      <w:lang w:val="en-US"/>
    </w:rPr>
  </w:style>
  <w:style w:type="character" w:styleId="CommentReference">
    <w:name w:val="annotation reference"/>
    <w:basedOn w:val="DefaultParagraphFont"/>
    <w:uiPriority w:val="99"/>
    <w:semiHidden/>
    <w:unhideWhenUsed/>
    <w:rsid w:val="00F8447D"/>
    <w:rPr>
      <w:sz w:val="16"/>
      <w:szCs w:val="16"/>
    </w:rPr>
  </w:style>
  <w:style w:type="paragraph" w:styleId="CommentText">
    <w:name w:val="annotation text"/>
    <w:basedOn w:val="Normal"/>
    <w:link w:val="CommentTextChar"/>
    <w:uiPriority w:val="99"/>
    <w:semiHidden/>
    <w:unhideWhenUsed/>
    <w:rsid w:val="00F8447D"/>
    <w:pPr>
      <w:spacing w:line="240" w:lineRule="auto"/>
    </w:pPr>
    <w:rPr>
      <w:sz w:val="20"/>
      <w:szCs w:val="20"/>
    </w:rPr>
  </w:style>
  <w:style w:type="character" w:customStyle="1" w:styleId="CommentTextChar">
    <w:name w:val="Comment Text Char"/>
    <w:basedOn w:val="DefaultParagraphFont"/>
    <w:link w:val="CommentText"/>
    <w:uiPriority w:val="99"/>
    <w:semiHidden/>
    <w:rsid w:val="00F8447D"/>
    <w:rPr>
      <w:sz w:val="20"/>
      <w:szCs w:val="20"/>
      <w:lang w:val="en-US"/>
    </w:rPr>
  </w:style>
  <w:style w:type="paragraph" w:styleId="CommentSubject">
    <w:name w:val="annotation subject"/>
    <w:basedOn w:val="CommentText"/>
    <w:next w:val="CommentText"/>
    <w:link w:val="CommentSubjectChar"/>
    <w:uiPriority w:val="99"/>
    <w:semiHidden/>
    <w:unhideWhenUsed/>
    <w:rsid w:val="00F8447D"/>
    <w:rPr>
      <w:b/>
      <w:bCs/>
    </w:rPr>
  </w:style>
  <w:style w:type="character" w:customStyle="1" w:styleId="CommentSubjectChar">
    <w:name w:val="Comment Subject Char"/>
    <w:basedOn w:val="CommentTextChar"/>
    <w:link w:val="CommentSubject"/>
    <w:uiPriority w:val="99"/>
    <w:semiHidden/>
    <w:rsid w:val="00F8447D"/>
    <w:rPr>
      <w:b/>
      <w:bCs/>
      <w:sz w:val="20"/>
      <w:szCs w:val="20"/>
      <w:lang w:val="en-US"/>
    </w:rPr>
  </w:style>
  <w:style w:type="character" w:customStyle="1" w:styleId="ListParagraphChar">
    <w:name w:val="List Paragraph Char"/>
    <w:basedOn w:val="DefaultParagraphFont"/>
    <w:link w:val="ListParagraph"/>
    <w:uiPriority w:val="34"/>
    <w:locked/>
    <w:rsid w:val="000E2EAB"/>
    <w:rPr>
      <w:lang w:val="en-US"/>
    </w:rPr>
  </w:style>
  <w:style w:type="character" w:styleId="Hyperlink">
    <w:name w:val="Hyperlink"/>
    <w:basedOn w:val="DefaultParagraphFont"/>
    <w:uiPriority w:val="99"/>
    <w:unhideWhenUsed/>
    <w:rsid w:val="000E2EA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466716">
      <w:bodyDiv w:val="1"/>
      <w:marLeft w:val="0"/>
      <w:marRight w:val="0"/>
      <w:marTop w:val="0"/>
      <w:marBottom w:val="0"/>
      <w:divBdr>
        <w:top w:val="none" w:sz="0" w:space="0" w:color="auto"/>
        <w:left w:val="none" w:sz="0" w:space="0" w:color="auto"/>
        <w:bottom w:val="none" w:sz="0" w:space="0" w:color="auto"/>
        <w:right w:val="none" w:sz="0" w:space="0" w:color="auto"/>
      </w:divBdr>
    </w:div>
    <w:div w:id="617612285">
      <w:bodyDiv w:val="1"/>
      <w:marLeft w:val="0"/>
      <w:marRight w:val="0"/>
      <w:marTop w:val="0"/>
      <w:marBottom w:val="0"/>
      <w:divBdr>
        <w:top w:val="none" w:sz="0" w:space="0" w:color="auto"/>
        <w:left w:val="none" w:sz="0" w:space="0" w:color="auto"/>
        <w:bottom w:val="none" w:sz="0" w:space="0" w:color="auto"/>
        <w:right w:val="none" w:sz="0" w:space="0" w:color="auto"/>
      </w:divBdr>
    </w:div>
    <w:div w:id="866791240">
      <w:bodyDiv w:val="1"/>
      <w:marLeft w:val="0"/>
      <w:marRight w:val="0"/>
      <w:marTop w:val="0"/>
      <w:marBottom w:val="0"/>
      <w:divBdr>
        <w:top w:val="none" w:sz="0" w:space="0" w:color="auto"/>
        <w:left w:val="none" w:sz="0" w:space="0" w:color="auto"/>
        <w:bottom w:val="none" w:sz="0" w:space="0" w:color="auto"/>
        <w:right w:val="none" w:sz="0" w:space="0" w:color="auto"/>
      </w:divBdr>
    </w:div>
    <w:div w:id="1498763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chart" Target="charts/chart6.xml"/><Relationship Id="rId18" Type="http://schemas.openxmlformats.org/officeDocument/2006/relationships/chart" Target="charts/chart11.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gov.uk/government/publications/clinical-excellence-awards-application-guidance/guide-for-applicants-national-clinical-excellence-awards-2021-awards-round" TargetMode="External"/><Relationship Id="rId7" Type="http://schemas.openxmlformats.org/officeDocument/2006/relationships/endnotes" Target="endnotes.xml"/><Relationship Id="rId12" Type="http://schemas.openxmlformats.org/officeDocument/2006/relationships/chart" Target="charts/chart5.xml"/><Relationship Id="rId17" Type="http://schemas.openxmlformats.org/officeDocument/2006/relationships/chart" Target="charts/chart10.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9.xml"/><Relationship Id="rId20"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4.xm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chart" Target="charts/chart8.xml"/><Relationship Id="rId23" Type="http://schemas.openxmlformats.org/officeDocument/2006/relationships/footer" Target="footer1.xml"/><Relationship Id="rId10" Type="http://schemas.openxmlformats.org/officeDocument/2006/relationships/chart" Target="charts/chart3.xml"/><Relationship Id="rId19" Type="http://schemas.openxmlformats.org/officeDocument/2006/relationships/chart" Target="charts/chart12.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chart" Target="charts/chart7.xml"/><Relationship Id="rId22" Type="http://schemas.openxmlformats.org/officeDocument/2006/relationships/header" Target="header1.xm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1"/>
            <c:bubble3D val="0"/>
            <c:spPr>
              <a:solidFill>
                <a:srgbClr val="C00000"/>
              </a:solidFill>
            </c:spPr>
            <c:extLst>
              <c:ext xmlns:c16="http://schemas.microsoft.com/office/drawing/2014/chart" uri="{C3380CC4-5D6E-409C-BE32-E72D297353CC}">
                <c16:uniqueId val="{00000001-EE7B-4D7C-A233-4BF9C7101885}"/>
              </c:ext>
            </c:extLst>
          </c:dPt>
          <c:dLbls>
            <c:dLbl>
              <c:idx val="0"/>
              <c:tx>
                <c:rich>
                  <a:bodyPr/>
                  <a:lstStyle/>
                  <a:p>
                    <a:r>
                      <a:rPr lang="en-US"/>
                      <a:t>20.8%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E7B-4D7C-A233-4BF9C7101885}"/>
                </c:ext>
              </c:extLst>
            </c:dLbl>
            <c:dLbl>
              <c:idx val="1"/>
              <c:tx>
                <c:rich>
                  <a:bodyPr/>
                  <a:lstStyle/>
                  <a:p>
                    <a:r>
                      <a:rPr lang="en-US"/>
                      <a:t>79.2%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E7B-4D7C-A233-4BF9C7101885}"/>
                </c:ext>
              </c:extLst>
            </c:dLbl>
            <c:spPr>
              <a:noFill/>
              <a:ln>
                <a:noFill/>
              </a:ln>
              <a:effectLst/>
            </c:spPr>
            <c:txPr>
              <a:bodyPr/>
              <a:lstStyle/>
              <a:p>
                <a:pPr>
                  <a:defRPr b="1"/>
                </a:pPr>
                <a:endParaRPr lang="en-US"/>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graphs!$B$3:$C$3</c:f>
              <c:strCache>
                <c:ptCount val="2"/>
                <c:pt idx="0">
                  <c:v>Male</c:v>
                </c:pt>
                <c:pt idx="1">
                  <c:v>Female</c:v>
                </c:pt>
              </c:strCache>
            </c:strRef>
          </c:cat>
          <c:val>
            <c:numRef>
              <c:f>graphs!$B$9:$C$9</c:f>
              <c:numCache>
                <c:formatCode>0%</c:formatCode>
                <c:ptCount val="2"/>
                <c:pt idx="0">
                  <c:v>0.2</c:v>
                </c:pt>
                <c:pt idx="1">
                  <c:v>0.8</c:v>
                </c:pt>
              </c:numCache>
            </c:numRef>
          </c:val>
          <c:extLst>
            <c:ext xmlns:c16="http://schemas.microsoft.com/office/drawing/2014/chart" uri="{C3380CC4-5D6E-409C-BE32-E72D297353CC}">
              <c16:uniqueId val="{00000002-EE7B-4D7C-A233-4BF9C7101885}"/>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b="1"/>
          </a:pPr>
          <a:endParaRPr lang="en-US"/>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100"/>
              <a:t>Percentage of Gender in pay Quartile Medical Staff</a:t>
            </a:r>
          </a:p>
        </c:rich>
      </c:tx>
      <c:overlay val="0"/>
    </c:title>
    <c:autoTitleDeleted val="0"/>
    <c:plotArea>
      <c:layout>
        <c:manualLayout>
          <c:layoutTarget val="inner"/>
          <c:xMode val="edge"/>
          <c:yMode val="edge"/>
          <c:x val="0.20037549836471782"/>
          <c:y val="0.125"/>
          <c:w val="0.75827476263453641"/>
          <c:h val="0.75902012248468942"/>
        </c:manualLayout>
      </c:layout>
      <c:barChart>
        <c:barDir val="bar"/>
        <c:grouping val="clustered"/>
        <c:varyColors val="0"/>
        <c:ser>
          <c:idx val="0"/>
          <c:order val="0"/>
          <c:tx>
            <c:strRef>
              <c:f>Charts!$J$31</c:f>
              <c:strCache>
                <c:ptCount val="1"/>
                <c:pt idx="0">
                  <c:v>Male %</c:v>
                </c:pt>
              </c:strCache>
            </c:strRef>
          </c:tx>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Charts!$F$32:$F$35</c:f>
              <c:strCache>
                <c:ptCount val="4"/>
                <c:pt idx="0">
                  <c:v>Lower Quartile</c:v>
                </c:pt>
                <c:pt idx="1">
                  <c:v>Lower Middle Quartile</c:v>
                </c:pt>
                <c:pt idx="2">
                  <c:v>Upper Middle Quartile</c:v>
                </c:pt>
                <c:pt idx="3">
                  <c:v>Upper Quartile</c:v>
                </c:pt>
              </c:strCache>
            </c:strRef>
          </c:cat>
          <c:val>
            <c:numRef>
              <c:f>Charts!$J$32:$J$35</c:f>
              <c:numCache>
                <c:formatCode>0.00%</c:formatCode>
                <c:ptCount val="4"/>
                <c:pt idx="0">
                  <c:v>0.41223404255319152</c:v>
                </c:pt>
                <c:pt idx="1">
                  <c:v>0.38607594936708867</c:v>
                </c:pt>
                <c:pt idx="2">
                  <c:v>0.4406392694063927</c:v>
                </c:pt>
                <c:pt idx="3">
                  <c:v>0.64721485411140589</c:v>
                </c:pt>
              </c:numCache>
            </c:numRef>
          </c:val>
          <c:extLst>
            <c:ext xmlns:c16="http://schemas.microsoft.com/office/drawing/2014/chart" uri="{C3380CC4-5D6E-409C-BE32-E72D297353CC}">
              <c16:uniqueId val="{00000000-BB45-46AC-9E20-091972664AC8}"/>
            </c:ext>
          </c:extLst>
        </c:ser>
        <c:ser>
          <c:idx val="1"/>
          <c:order val="1"/>
          <c:tx>
            <c:strRef>
              <c:f>Charts!$I$31</c:f>
              <c:strCache>
                <c:ptCount val="1"/>
                <c:pt idx="0">
                  <c:v>Female %</c:v>
                </c:pt>
              </c:strCache>
            </c:strRef>
          </c:tx>
          <c:spPr>
            <a:solidFill>
              <a:srgbClr val="C00000"/>
            </a:solidFill>
          </c:spPr>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Charts!$F$32:$F$35</c:f>
              <c:strCache>
                <c:ptCount val="4"/>
                <c:pt idx="0">
                  <c:v>Lower Quartile</c:v>
                </c:pt>
                <c:pt idx="1">
                  <c:v>Lower Middle Quartile</c:v>
                </c:pt>
                <c:pt idx="2">
                  <c:v>Upper Middle Quartile</c:v>
                </c:pt>
                <c:pt idx="3">
                  <c:v>Upper Quartile</c:v>
                </c:pt>
              </c:strCache>
            </c:strRef>
          </c:cat>
          <c:val>
            <c:numRef>
              <c:f>Charts!$I$32:$I$35</c:f>
              <c:numCache>
                <c:formatCode>0.00%</c:formatCode>
                <c:ptCount val="4"/>
                <c:pt idx="0">
                  <c:v>0.58776595744680848</c:v>
                </c:pt>
                <c:pt idx="1">
                  <c:v>0.61392405063291144</c:v>
                </c:pt>
                <c:pt idx="2">
                  <c:v>0.55936073059360736</c:v>
                </c:pt>
                <c:pt idx="3">
                  <c:v>0.35278514588859416</c:v>
                </c:pt>
              </c:numCache>
            </c:numRef>
          </c:val>
          <c:extLst>
            <c:ext xmlns:c16="http://schemas.microsoft.com/office/drawing/2014/chart" uri="{C3380CC4-5D6E-409C-BE32-E72D297353CC}">
              <c16:uniqueId val="{00000001-BB45-46AC-9E20-091972664AC8}"/>
            </c:ext>
          </c:extLst>
        </c:ser>
        <c:dLbls>
          <c:showLegendKey val="0"/>
          <c:showVal val="0"/>
          <c:showCatName val="0"/>
          <c:showSerName val="0"/>
          <c:showPercent val="0"/>
          <c:showBubbleSize val="0"/>
        </c:dLbls>
        <c:gapWidth val="75"/>
        <c:axId val="227292288"/>
        <c:axId val="227294208"/>
      </c:barChart>
      <c:catAx>
        <c:axId val="227292288"/>
        <c:scaling>
          <c:orientation val="minMax"/>
        </c:scaling>
        <c:delete val="0"/>
        <c:axPos val="l"/>
        <c:numFmt formatCode="General" sourceLinked="0"/>
        <c:majorTickMark val="out"/>
        <c:minorTickMark val="none"/>
        <c:tickLblPos val="nextTo"/>
        <c:txPr>
          <a:bodyPr/>
          <a:lstStyle/>
          <a:p>
            <a:pPr>
              <a:defRPr b="1"/>
            </a:pPr>
            <a:endParaRPr lang="en-US"/>
          </a:p>
        </c:txPr>
        <c:crossAx val="227294208"/>
        <c:crosses val="autoZero"/>
        <c:auto val="1"/>
        <c:lblAlgn val="ctr"/>
        <c:lblOffset val="100"/>
        <c:noMultiLvlLbl val="0"/>
      </c:catAx>
      <c:valAx>
        <c:axId val="227294208"/>
        <c:scaling>
          <c:orientation val="minMax"/>
        </c:scaling>
        <c:delete val="1"/>
        <c:axPos val="b"/>
        <c:numFmt formatCode="0%" sourceLinked="0"/>
        <c:majorTickMark val="out"/>
        <c:minorTickMark val="none"/>
        <c:tickLblPos val="nextTo"/>
        <c:crossAx val="22729228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[NHS Gender Pay Gap Ordinary Pay by Person 31032022.xlsx]Charts!PivotTable3</c:name>
    <c:fmtId val="-1"/>
  </c:pivotSource>
  <c:chart>
    <c:autoTitleDeleted val="0"/>
    <c:pivotFmts>
      <c:pivotFmt>
        <c:idx val="0"/>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3"/>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4"/>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5"/>
        <c:marker>
          <c:symbol val="none"/>
        </c:marker>
        <c:dLbl>
          <c:idx val="0"/>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stacked"/>
        <c:varyColors val="0"/>
        <c:ser>
          <c:idx val="0"/>
          <c:order val="0"/>
          <c:tx>
            <c:strRef>
              <c:f>Charts!$C$46:$C$47</c:f>
              <c:strCache>
                <c:ptCount val="1"/>
                <c:pt idx="0">
                  <c:v>Male</c:v>
                </c:pt>
              </c:strCache>
            </c:strRef>
          </c:tx>
          <c:invertIfNegative val="0"/>
          <c:dLbls>
            <c:spPr>
              <a:noFill/>
              <a:ln>
                <a:noFill/>
              </a:ln>
              <a:effectLst/>
            </c:spPr>
            <c:txPr>
              <a:bodyPr wrap="square" lIns="38100" tIns="19050" rIns="38100" bIns="19050" anchor="ctr">
                <a:spAutoFit/>
              </a:bodyPr>
              <a:lstStyle/>
              <a:p>
                <a:pPr>
                  <a:defRPr b="1">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Charts!$B$48:$B$66</c:f>
              <c:strCache>
                <c:ptCount val="18"/>
                <c:pt idx="0">
                  <c:v>Apprentice</c:v>
                </c:pt>
                <c:pt idx="1">
                  <c:v>Band 1</c:v>
                </c:pt>
                <c:pt idx="2">
                  <c:v>Band 2</c:v>
                </c:pt>
                <c:pt idx="3">
                  <c:v>Band 3</c:v>
                </c:pt>
                <c:pt idx="4">
                  <c:v>Band 4</c:v>
                </c:pt>
                <c:pt idx="5">
                  <c:v>Band 5</c:v>
                </c:pt>
                <c:pt idx="6">
                  <c:v>Band 6</c:v>
                </c:pt>
                <c:pt idx="7">
                  <c:v>Band 7</c:v>
                </c:pt>
                <c:pt idx="8">
                  <c:v>Band 8 - Range A</c:v>
                </c:pt>
                <c:pt idx="9">
                  <c:v>Band 8 - Range B</c:v>
                </c:pt>
                <c:pt idx="10">
                  <c:v>Band 8 - Range C</c:v>
                </c:pt>
                <c:pt idx="11">
                  <c:v>Band 8 - Range D</c:v>
                </c:pt>
                <c:pt idx="12">
                  <c:v>Band 9</c:v>
                </c:pt>
                <c:pt idx="13">
                  <c:v>Trainee Grade</c:v>
                </c:pt>
                <c:pt idx="14">
                  <c:v>Career Grade</c:v>
                </c:pt>
                <c:pt idx="15">
                  <c:v>Consultant</c:v>
                </c:pt>
                <c:pt idx="16">
                  <c:v>NED</c:v>
                </c:pt>
                <c:pt idx="17">
                  <c:v>VSM</c:v>
                </c:pt>
              </c:strCache>
            </c:strRef>
          </c:cat>
          <c:val>
            <c:numRef>
              <c:f>Charts!$C$48:$C$66</c:f>
              <c:numCache>
                <c:formatCode>0.00%</c:formatCode>
                <c:ptCount val="18"/>
                <c:pt idx="0">
                  <c:v>0.16279069767441862</c:v>
                </c:pt>
                <c:pt idx="1">
                  <c:v>0.2</c:v>
                </c:pt>
                <c:pt idx="2">
                  <c:v>0.16527866752081999</c:v>
                </c:pt>
                <c:pt idx="3">
                  <c:v>0.11058823529411765</c:v>
                </c:pt>
                <c:pt idx="4">
                  <c:v>0.125</c:v>
                </c:pt>
                <c:pt idx="5">
                  <c:v>0.1402508551881414</c:v>
                </c:pt>
                <c:pt idx="6">
                  <c:v>0.12359550561797752</c:v>
                </c:pt>
                <c:pt idx="7">
                  <c:v>0.16427432216905902</c:v>
                </c:pt>
                <c:pt idx="8">
                  <c:v>0.24630541871921183</c:v>
                </c:pt>
                <c:pt idx="9">
                  <c:v>0.37037037037037035</c:v>
                </c:pt>
                <c:pt idx="10">
                  <c:v>0.4</c:v>
                </c:pt>
                <c:pt idx="11">
                  <c:v>0.2857142857142857</c:v>
                </c:pt>
                <c:pt idx="12">
                  <c:v>0.66666666666666663</c:v>
                </c:pt>
                <c:pt idx="13">
                  <c:v>0.39106753812636164</c:v>
                </c:pt>
                <c:pt idx="14">
                  <c:v>0.52071005917159763</c:v>
                </c:pt>
                <c:pt idx="15">
                  <c:v>0.63571428571428568</c:v>
                </c:pt>
                <c:pt idx="16">
                  <c:v>0.4</c:v>
                </c:pt>
                <c:pt idx="17">
                  <c:v>0.625</c:v>
                </c:pt>
              </c:numCache>
            </c:numRef>
          </c:val>
          <c:extLst>
            <c:ext xmlns:c16="http://schemas.microsoft.com/office/drawing/2014/chart" uri="{C3380CC4-5D6E-409C-BE32-E72D297353CC}">
              <c16:uniqueId val="{00000000-09D9-4848-8BAE-AF775F9B8DE2}"/>
            </c:ext>
          </c:extLst>
        </c:ser>
        <c:ser>
          <c:idx val="1"/>
          <c:order val="1"/>
          <c:tx>
            <c:strRef>
              <c:f>Charts!$D$46:$D$47</c:f>
              <c:strCache>
                <c:ptCount val="1"/>
                <c:pt idx="0">
                  <c:v>Female</c:v>
                </c:pt>
              </c:strCache>
            </c:strRef>
          </c:tx>
          <c:spPr>
            <a:solidFill>
              <a:srgbClr val="C00000"/>
            </a:solidFill>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Charts!$B$48:$B$66</c:f>
              <c:strCache>
                <c:ptCount val="18"/>
                <c:pt idx="0">
                  <c:v>Apprentice</c:v>
                </c:pt>
                <c:pt idx="1">
                  <c:v>Band 1</c:v>
                </c:pt>
                <c:pt idx="2">
                  <c:v>Band 2</c:v>
                </c:pt>
                <c:pt idx="3">
                  <c:v>Band 3</c:v>
                </c:pt>
                <c:pt idx="4">
                  <c:v>Band 4</c:v>
                </c:pt>
                <c:pt idx="5">
                  <c:v>Band 5</c:v>
                </c:pt>
                <c:pt idx="6">
                  <c:v>Band 6</c:v>
                </c:pt>
                <c:pt idx="7">
                  <c:v>Band 7</c:v>
                </c:pt>
                <c:pt idx="8">
                  <c:v>Band 8 - Range A</c:v>
                </c:pt>
                <c:pt idx="9">
                  <c:v>Band 8 - Range B</c:v>
                </c:pt>
                <c:pt idx="10">
                  <c:v>Band 8 - Range C</c:v>
                </c:pt>
                <c:pt idx="11">
                  <c:v>Band 8 - Range D</c:v>
                </c:pt>
                <c:pt idx="12">
                  <c:v>Band 9</c:v>
                </c:pt>
                <c:pt idx="13">
                  <c:v>Trainee Grade</c:v>
                </c:pt>
                <c:pt idx="14">
                  <c:v>Career Grade</c:v>
                </c:pt>
                <c:pt idx="15">
                  <c:v>Consultant</c:v>
                </c:pt>
                <c:pt idx="16">
                  <c:v>NED</c:v>
                </c:pt>
                <c:pt idx="17">
                  <c:v>VSM</c:v>
                </c:pt>
              </c:strCache>
            </c:strRef>
          </c:cat>
          <c:val>
            <c:numRef>
              <c:f>Charts!$D$48:$D$66</c:f>
              <c:numCache>
                <c:formatCode>0.00%</c:formatCode>
                <c:ptCount val="18"/>
                <c:pt idx="0">
                  <c:v>0.83720930232558144</c:v>
                </c:pt>
                <c:pt idx="1">
                  <c:v>0.8</c:v>
                </c:pt>
                <c:pt idx="2">
                  <c:v>0.83472133247918001</c:v>
                </c:pt>
                <c:pt idx="3">
                  <c:v>0.88941176470588235</c:v>
                </c:pt>
                <c:pt idx="4">
                  <c:v>0.875</c:v>
                </c:pt>
                <c:pt idx="5">
                  <c:v>0.8597491448118586</c:v>
                </c:pt>
                <c:pt idx="6">
                  <c:v>0.8764044943820225</c:v>
                </c:pt>
                <c:pt idx="7">
                  <c:v>0.83572567783094098</c:v>
                </c:pt>
                <c:pt idx="8">
                  <c:v>0.75369458128078815</c:v>
                </c:pt>
                <c:pt idx="9">
                  <c:v>0.62962962962962965</c:v>
                </c:pt>
                <c:pt idx="10">
                  <c:v>0.6</c:v>
                </c:pt>
                <c:pt idx="11">
                  <c:v>0.7142857142857143</c:v>
                </c:pt>
                <c:pt idx="12">
                  <c:v>0.33333333333333331</c:v>
                </c:pt>
                <c:pt idx="13">
                  <c:v>0.60893246187363836</c:v>
                </c:pt>
                <c:pt idx="14">
                  <c:v>0.47928994082840237</c:v>
                </c:pt>
                <c:pt idx="15">
                  <c:v>0.36428571428571427</c:v>
                </c:pt>
                <c:pt idx="16">
                  <c:v>0.6</c:v>
                </c:pt>
                <c:pt idx="17">
                  <c:v>0.375</c:v>
                </c:pt>
              </c:numCache>
            </c:numRef>
          </c:val>
          <c:extLst>
            <c:ext xmlns:c16="http://schemas.microsoft.com/office/drawing/2014/chart" uri="{C3380CC4-5D6E-409C-BE32-E72D297353CC}">
              <c16:uniqueId val="{00000001-09D9-4848-8BAE-AF775F9B8DE2}"/>
            </c:ext>
          </c:extLst>
        </c:ser>
        <c:dLbls>
          <c:showLegendKey val="0"/>
          <c:showVal val="0"/>
          <c:showCatName val="0"/>
          <c:showSerName val="0"/>
          <c:showPercent val="0"/>
          <c:showBubbleSize val="0"/>
        </c:dLbls>
        <c:gapWidth val="13"/>
        <c:overlap val="100"/>
        <c:axId val="227132160"/>
        <c:axId val="227133696"/>
      </c:barChart>
      <c:catAx>
        <c:axId val="227132160"/>
        <c:scaling>
          <c:orientation val="maxMin"/>
        </c:scaling>
        <c:delete val="0"/>
        <c:axPos val="l"/>
        <c:numFmt formatCode="General" sourceLinked="0"/>
        <c:majorTickMark val="out"/>
        <c:minorTickMark val="none"/>
        <c:tickLblPos val="nextTo"/>
        <c:txPr>
          <a:bodyPr/>
          <a:lstStyle/>
          <a:p>
            <a:pPr>
              <a:defRPr sz="800" b="1" baseline="0"/>
            </a:pPr>
            <a:endParaRPr lang="en-US"/>
          </a:p>
        </c:txPr>
        <c:crossAx val="227133696"/>
        <c:crosses val="autoZero"/>
        <c:auto val="1"/>
        <c:lblAlgn val="ctr"/>
        <c:lblOffset val="100"/>
        <c:noMultiLvlLbl val="0"/>
      </c:catAx>
      <c:valAx>
        <c:axId val="227133696"/>
        <c:scaling>
          <c:orientation val="minMax"/>
          <c:max val="1"/>
          <c:min val="0"/>
        </c:scaling>
        <c:delete val="0"/>
        <c:axPos val="t"/>
        <c:majorGridlines/>
        <c:numFmt formatCode="0.00%" sourceLinked="1"/>
        <c:majorTickMark val="out"/>
        <c:minorTickMark val="none"/>
        <c:tickLblPos val="nextTo"/>
        <c:txPr>
          <a:bodyPr/>
          <a:lstStyle/>
          <a:p>
            <a:pPr>
              <a:defRPr sz="900" b="1" baseline="0"/>
            </a:pPr>
            <a:endParaRPr lang="en-US"/>
          </a:p>
        </c:txPr>
        <c:crossAx val="227132160"/>
        <c:crosses val="autoZero"/>
        <c:crossBetween val="between"/>
      </c:valAx>
    </c:plotArea>
    <c:legend>
      <c:legendPos val="b"/>
      <c:overlay val="0"/>
      <c:txPr>
        <a:bodyPr/>
        <a:lstStyle/>
        <a:p>
          <a:pPr>
            <a:defRPr sz="800" baseline="0"/>
          </a:pPr>
          <a:endParaRPr lang="en-US"/>
        </a:p>
      </c:txPr>
    </c:legend>
    <c:plotVisOnly val="1"/>
    <c:dispBlanksAs val="gap"/>
    <c:showDLblsOverMax val="0"/>
  </c:chart>
  <c:spPr>
    <a:ln>
      <a:solidFill>
        <a:schemeClr val="tx1"/>
      </a:solidFill>
    </a:ln>
  </c:spPr>
  <c:externalData r:id="rId1">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Mean Bonus Pay</a:t>
            </a:r>
          </a:p>
        </c:rich>
      </c:tx>
      <c:overlay val="0"/>
    </c:title>
    <c:autoTitleDeleted val="0"/>
    <c:plotArea>
      <c:layout/>
      <c:barChart>
        <c:barDir val="col"/>
        <c:grouping val="clustered"/>
        <c:varyColors val="0"/>
        <c:ser>
          <c:idx val="0"/>
          <c:order val="0"/>
          <c:tx>
            <c:strRef>
              <c:f>Sheet1!$B$1</c:f>
              <c:strCache>
                <c:ptCount val="1"/>
                <c:pt idx="0">
                  <c:v>Avg. Pay</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17A8-4CD0-A40F-497E26231988}"/>
              </c:ext>
            </c:extLst>
          </c:dPt>
          <c:dLbls>
            <c:numFmt formatCode="&quot;£&quot;#,##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c:v>
                </c:pt>
                <c:pt idx="1">
                  <c:v>Female</c:v>
                </c:pt>
              </c:strCache>
            </c:strRef>
          </c:cat>
          <c:val>
            <c:numRef>
              <c:f>Sheet1!$B$2:$B$3</c:f>
              <c:numCache>
                <c:formatCode>#,##0</c:formatCode>
                <c:ptCount val="2"/>
                <c:pt idx="0">
                  <c:v>14408.09928</c:v>
                </c:pt>
                <c:pt idx="1">
                  <c:v>7871.9488135593201</c:v>
                </c:pt>
              </c:numCache>
            </c:numRef>
          </c:val>
          <c:extLst>
            <c:ext xmlns:c16="http://schemas.microsoft.com/office/drawing/2014/chart" uri="{C3380CC4-5D6E-409C-BE32-E72D297353CC}">
              <c16:uniqueId val="{00000002-17A8-4CD0-A40F-497E26231988}"/>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crossAx val="202389376"/>
        <c:crosses val="autoZero"/>
        <c:auto val="1"/>
        <c:lblAlgn val="ctr"/>
        <c:lblOffset val="100"/>
        <c:noMultiLvlLbl val="0"/>
      </c:catAx>
      <c:valAx>
        <c:axId val="202389376"/>
        <c:scaling>
          <c:orientation val="minMax"/>
        </c:scaling>
        <c:delete val="1"/>
        <c:axPos val="l"/>
        <c:numFmt formatCode="#,##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Median Bonus Pay</a:t>
            </a:r>
          </a:p>
        </c:rich>
      </c:tx>
      <c:overlay val="0"/>
    </c:title>
    <c:autoTitleDeleted val="0"/>
    <c:plotArea>
      <c:layout/>
      <c:barChart>
        <c:barDir val="col"/>
        <c:grouping val="clustered"/>
        <c:varyColors val="0"/>
        <c:ser>
          <c:idx val="0"/>
          <c:order val="0"/>
          <c:tx>
            <c:strRef>
              <c:f>Sheet1!$C$1</c:f>
              <c:strCache>
                <c:ptCount val="1"/>
                <c:pt idx="0">
                  <c:v>Median Pay</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7A40-434C-98FD-D0D4E0BBAE13}"/>
              </c:ext>
            </c:extLst>
          </c:dPt>
          <c:dLbls>
            <c:numFmt formatCode="&quot;£&quot;#,##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Male</c:v>
                </c:pt>
                <c:pt idx="1">
                  <c:v>Female</c:v>
                </c:pt>
              </c:strCache>
            </c:strRef>
          </c:cat>
          <c:val>
            <c:numRef>
              <c:f>Sheet1!$C$2:$C$3</c:f>
              <c:numCache>
                <c:formatCode>#,##0</c:formatCode>
                <c:ptCount val="2"/>
                <c:pt idx="0">
                  <c:v>9048</c:v>
                </c:pt>
                <c:pt idx="1">
                  <c:v>5076.97</c:v>
                </c:pt>
              </c:numCache>
            </c:numRef>
          </c:val>
          <c:extLst>
            <c:ext xmlns:c16="http://schemas.microsoft.com/office/drawing/2014/chart" uri="{C3380CC4-5D6E-409C-BE32-E72D297353CC}">
              <c16:uniqueId val="{00000002-7A40-434C-98FD-D0D4E0BBAE13}"/>
            </c:ext>
          </c:extLst>
        </c:ser>
        <c:dLbls>
          <c:showLegendKey val="0"/>
          <c:showVal val="0"/>
          <c:showCatName val="0"/>
          <c:showSerName val="0"/>
          <c:showPercent val="0"/>
          <c:showBubbleSize val="0"/>
        </c:dLbls>
        <c:gapWidth val="150"/>
        <c:axId val="227033472"/>
        <c:axId val="227035392"/>
      </c:barChart>
      <c:catAx>
        <c:axId val="227033472"/>
        <c:scaling>
          <c:orientation val="minMax"/>
        </c:scaling>
        <c:delete val="0"/>
        <c:axPos val="b"/>
        <c:numFmt formatCode="General" sourceLinked="0"/>
        <c:majorTickMark val="out"/>
        <c:minorTickMark val="none"/>
        <c:tickLblPos val="nextTo"/>
        <c:crossAx val="227035392"/>
        <c:crosses val="autoZero"/>
        <c:auto val="1"/>
        <c:lblAlgn val="ctr"/>
        <c:lblOffset val="100"/>
        <c:noMultiLvlLbl val="0"/>
      </c:catAx>
      <c:valAx>
        <c:axId val="227035392"/>
        <c:scaling>
          <c:orientation val="minMax"/>
          <c:max val="16000"/>
        </c:scaling>
        <c:delete val="1"/>
        <c:axPos val="l"/>
        <c:numFmt formatCode="#,##0" sourceLinked="1"/>
        <c:majorTickMark val="out"/>
        <c:minorTickMark val="none"/>
        <c:tickLblPos val="nextTo"/>
        <c:crossAx val="22703347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Mean Hourly Rate</a:t>
            </a:r>
          </a:p>
        </c:rich>
      </c:tx>
      <c:overlay val="0"/>
    </c:title>
    <c:autoTitleDeleted val="0"/>
    <c:plotArea>
      <c:layout/>
      <c:barChart>
        <c:barDir val="col"/>
        <c:grouping val="clustered"/>
        <c:varyColors val="0"/>
        <c:ser>
          <c:idx val="0"/>
          <c:order val="0"/>
          <c:tx>
            <c:strRef>
              <c:f>Charts!$C$2</c:f>
              <c:strCache>
                <c:ptCount val="1"/>
                <c:pt idx="0">
                  <c:v>Avg.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B45F-4ADD-99D7-E6FF6E488188}"/>
              </c:ext>
            </c:extLst>
          </c:dPt>
          <c:dLbls>
            <c:numFmt formatCode="&quot;£&quot;#,##0.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Charts!$B$3:$B$4</c:f>
              <c:strCache>
                <c:ptCount val="2"/>
                <c:pt idx="0">
                  <c:v>Male</c:v>
                </c:pt>
                <c:pt idx="1">
                  <c:v>Female</c:v>
                </c:pt>
              </c:strCache>
            </c:strRef>
          </c:cat>
          <c:val>
            <c:numRef>
              <c:f>Charts!$C$3:$C$4</c:f>
              <c:numCache>
                <c:formatCode>0.0000</c:formatCode>
                <c:ptCount val="2"/>
                <c:pt idx="0">
                  <c:v>25.216203919910487</c:v>
                </c:pt>
                <c:pt idx="1">
                  <c:v>18.105227932248916</c:v>
                </c:pt>
              </c:numCache>
            </c:numRef>
          </c:val>
          <c:extLst>
            <c:ext xmlns:c16="http://schemas.microsoft.com/office/drawing/2014/chart" uri="{C3380CC4-5D6E-409C-BE32-E72D297353CC}">
              <c16:uniqueId val="{00000002-B45F-4ADD-99D7-E6FF6E488188}"/>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txPr>
          <a:bodyPr/>
          <a:lstStyle/>
          <a:p>
            <a:pPr>
              <a:defRPr b="1"/>
            </a:pPr>
            <a:endParaRPr lang="en-US"/>
          </a:p>
        </c:txPr>
        <c:crossAx val="202389376"/>
        <c:crosses val="autoZero"/>
        <c:auto val="1"/>
        <c:lblAlgn val="ctr"/>
        <c:lblOffset val="100"/>
        <c:noMultiLvlLbl val="0"/>
      </c:catAx>
      <c:valAx>
        <c:axId val="202389376"/>
        <c:scaling>
          <c:orientation val="minMax"/>
        </c:scaling>
        <c:delete val="1"/>
        <c:axPos val="l"/>
        <c:numFmt formatCode="0.000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Median Hourly Rate</a:t>
            </a:r>
          </a:p>
        </c:rich>
      </c:tx>
      <c:overlay val="0"/>
    </c:title>
    <c:autoTitleDeleted val="0"/>
    <c:plotArea>
      <c:layout/>
      <c:barChart>
        <c:barDir val="col"/>
        <c:grouping val="clustered"/>
        <c:varyColors val="0"/>
        <c:ser>
          <c:idx val="0"/>
          <c:order val="0"/>
          <c:tx>
            <c:strRef>
              <c:f>Charts!$D$2</c:f>
              <c:strCache>
                <c:ptCount val="1"/>
                <c:pt idx="0">
                  <c:v>Median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9E93-4802-B0B2-2433A77450B3}"/>
              </c:ext>
            </c:extLst>
          </c:dPt>
          <c:dLbls>
            <c:numFmt formatCode="&quot;£&quot;#,##0.00" sourceLinked="0"/>
            <c:spPr>
              <a:noFill/>
              <a:ln>
                <a:noFill/>
              </a:ln>
              <a:effectLst/>
            </c:spPr>
            <c:txPr>
              <a:bodyPr wrap="square" lIns="38100" tIns="19050" rIns="38100" bIns="19050" anchor="ctr">
                <a:spAutoFit/>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Charts!$B$3:$B$4</c:f>
              <c:strCache>
                <c:ptCount val="2"/>
                <c:pt idx="0">
                  <c:v>Male</c:v>
                </c:pt>
                <c:pt idx="1">
                  <c:v>Female</c:v>
                </c:pt>
              </c:strCache>
            </c:strRef>
          </c:cat>
          <c:val>
            <c:numRef>
              <c:f>Charts!$D$3:$D$4</c:f>
              <c:numCache>
                <c:formatCode>0.0000</c:formatCode>
                <c:ptCount val="2"/>
                <c:pt idx="0">
                  <c:v>21.166221985058701</c:v>
                </c:pt>
                <c:pt idx="1">
                  <c:v>16.5623497391699</c:v>
                </c:pt>
              </c:numCache>
            </c:numRef>
          </c:val>
          <c:extLst>
            <c:ext xmlns:c16="http://schemas.microsoft.com/office/drawing/2014/chart" uri="{C3380CC4-5D6E-409C-BE32-E72D297353CC}">
              <c16:uniqueId val="{00000002-9E93-4802-B0B2-2433A77450B3}"/>
            </c:ext>
          </c:extLst>
        </c:ser>
        <c:dLbls>
          <c:showLegendKey val="0"/>
          <c:showVal val="0"/>
          <c:showCatName val="0"/>
          <c:showSerName val="0"/>
          <c:showPercent val="0"/>
          <c:showBubbleSize val="0"/>
        </c:dLbls>
        <c:gapWidth val="150"/>
        <c:axId val="227033472"/>
        <c:axId val="227035392"/>
      </c:barChart>
      <c:catAx>
        <c:axId val="227033472"/>
        <c:scaling>
          <c:orientation val="minMax"/>
        </c:scaling>
        <c:delete val="0"/>
        <c:axPos val="b"/>
        <c:numFmt formatCode="General" sourceLinked="0"/>
        <c:majorTickMark val="out"/>
        <c:minorTickMark val="none"/>
        <c:tickLblPos val="nextTo"/>
        <c:txPr>
          <a:bodyPr/>
          <a:lstStyle/>
          <a:p>
            <a:pPr>
              <a:defRPr b="1"/>
            </a:pPr>
            <a:endParaRPr lang="en-US"/>
          </a:p>
        </c:txPr>
        <c:crossAx val="227035392"/>
        <c:crosses val="autoZero"/>
        <c:auto val="1"/>
        <c:lblAlgn val="ctr"/>
        <c:lblOffset val="100"/>
        <c:noMultiLvlLbl val="0"/>
      </c:catAx>
      <c:valAx>
        <c:axId val="227035392"/>
        <c:scaling>
          <c:orientation val="minMax"/>
          <c:max val="30"/>
        </c:scaling>
        <c:delete val="1"/>
        <c:axPos val="l"/>
        <c:numFmt formatCode="0.0000" sourceLinked="1"/>
        <c:majorTickMark val="out"/>
        <c:minorTickMark val="none"/>
        <c:tickLblPos val="nextTo"/>
        <c:crossAx val="22703347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1"/>
            </a:pPr>
            <a:r>
              <a:rPr lang="en-GB" sz="1100" b="1"/>
              <a:t>Percentage</a:t>
            </a:r>
            <a:r>
              <a:rPr lang="en-GB" sz="1100" b="1" baseline="0"/>
              <a:t> of Gender in pay Quartiles including  Medical Staff</a:t>
            </a:r>
            <a:endParaRPr lang="en-GB" sz="1100" b="1"/>
          </a:p>
        </c:rich>
      </c:tx>
      <c:overlay val="0"/>
    </c:title>
    <c:autoTitleDeleted val="0"/>
    <c:plotArea>
      <c:layout>
        <c:manualLayout>
          <c:layoutTarget val="inner"/>
          <c:xMode val="edge"/>
          <c:yMode val="edge"/>
          <c:x val="0.20037549836471782"/>
          <c:y val="0.125"/>
          <c:w val="0.75827476263453641"/>
          <c:h val="0.75902012248468942"/>
        </c:manualLayout>
      </c:layout>
      <c:barChart>
        <c:barDir val="bar"/>
        <c:grouping val="clustered"/>
        <c:varyColors val="0"/>
        <c:ser>
          <c:idx val="0"/>
          <c:order val="0"/>
          <c:tx>
            <c:strRef>
              <c:f>Charts!$J$2</c:f>
              <c:strCache>
                <c:ptCount val="1"/>
                <c:pt idx="0">
                  <c:v>Male %</c:v>
                </c:pt>
              </c:strCache>
            </c:strRef>
          </c:tx>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Charts!$F$3:$F$6</c:f>
              <c:strCache>
                <c:ptCount val="4"/>
                <c:pt idx="0">
                  <c:v>Lower Quartile</c:v>
                </c:pt>
                <c:pt idx="1">
                  <c:v>Lower Middle Quartile</c:v>
                </c:pt>
                <c:pt idx="2">
                  <c:v>Upper Middle Quartile</c:v>
                </c:pt>
                <c:pt idx="3">
                  <c:v>Upper Quartile</c:v>
                </c:pt>
              </c:strCache>
            </c:strRef>
          </c:cat>
          <c:val>
            <c:numRef>
              <c:f>Charts!$J$3:$J$6</c:f>
              <c:numCache>
                <c:formatCode>0.00%</c:formatCode>
                <c:ptCount val="4"/>
                <c:pt idx="0">
                  <c:v>0.14659685863874344</c:v>
                </c:pt>
                <c:pt idx="1">
                  <c:v>0.15636882129277566</c:v>
                </c:pt>
                <c:pt idx="2">
                  <c:v>0.17403708987161198</c:v>
                </c:pt>
                <c:pt idx="3">
                  <c:v>0.35408745247148288</c:v>
                </c:pt>
              </c:numCache>
            </c:numRef>
          </c:val>
          <c:extLst>
            <c:ext xmlns:c16="http://schemas.microsoft.com/office/drawing/2014/chart" uri="{C3380CC4-5D6E-409C-BE32-E72D297353CC}">
              <c16:uniqueId val="{00000000-4408-4D43-AE86-9F9058BF9551}"/>
            </c:ext>
          </c:extLst>
        </c:ser>
        <c:ser>
          <c:idx val="1"/>
          <c:order val="1"/>
          <c:tx>
            <c:strRef>
              <c:f>Charts!$I$2</c:f>
              <c:strCache>
                <c:ptCount val="1"/>
                <c:pt idx="0">
                  <c:v>Female %</c:v>
                </c:pt>
              </c:strCache>
            </c:strRef>
          </c:tx>
          <c:spPr>
            <a:solidFill>
              <a:srgbClr val="C00000"/>
            </a:solidFill>
          </c:spPr>
          <c:invertIfNegative val="0"/>
          <c:dLbls>
            <c:spPr>
              <a:noFill/>
              <a:ln>
                <a:noFill/>
              </a:ln>
              <a:effectLst/>
            </c:spPr>
            <c:txPr>
              <a:bodyPr/>
              <a:lstStyle/>
              <a:p>
                <a:pPr>
                  <a:defRPr sz="800" b="1"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Charts!$F$3:$F$6</c:f>
              <c:strCache>
                <c:ptCount val="4"/>
                <c:pt idx="0">
                  <c:v>Lower Quartile</c:v>
                </c:pt>
                <c:pt idx="1">
                  <c:v>Lower Middle Quartile</c:v>
                </c:pt>
                <c:pt idx="2">
                  <c:v>Upper Middle Quartile</c:v>
                </c:pt>
                <c:pt idx="3">
                  <c:v>Upper Quartile</c:v>
                </c:pt>
              </c:strCache>
            </c:strRef>
          </c:cat>
          <c:val>
            <c:numRef>
              <c:f>Charts!$I$3:$I$6</c:f>
              <c:numCache>
                <c:formatCode>0.00%</c:formatCode>
                <c:ptCount val="4"/>
                <c:pt idx="0">
                  <c:v>0.85340314136125661</c:v>
                </c:pt>
                <c:pt idx="1">
                  <c:v>0.84363117870722437</c:v>
                </c:pt>
                <c:pt idx="2">
                  <c:v>0.82596291012838807</c:v>
                </c:pt>
                <c:pt idx="3">
                  <c:v>0.64591254752851712</c:v>
                </c:pt>
              </c:numCache>
            </c:numRef>
          </c:val>
          <c:extLst>
            <c:ext xmlns:c16="http://schemas.microsoft.com/office/drawing/2014/chart" uri="{C3380CC4-5D6E-409C-BE32-E72D297353CC}">
              <c16:uniqueId val="{00000001-4408-4D43-AE86-9F9058BF9551}"/>
            </c:ext>
          </c:extLst>
        </c:ser>
        <c:dLbls>
          <c:showLegendKey val="0"/>
          <c:showVal val="0"/>
          <c:showCatName val="0"/>
          <c:showSerName val="0"/>
          <c:showPercent val="0"/>
          <c:showBubbleSize val="0"/>
        </c:dLbls>
        <c:gapWidth val="75"/>
        <c:axId val="227292288"/>
        <c:axId val="227294208"/>
      </c:barChart>
      <c:catAx>
        <c:axId val="227292288"/>
        <c:scaling>
          <c:orientation val="minMax"/>
        </c:scaling>
        <c:delete val="0"/>
        <c:axPos val="l"/>
        <c:numFmt formatCode="General" sourceLinked="0"/>
        <c:majorTickMark val="out"/>
        <c:minorTickMark val="none"/>
        <c:tickLblPos val="nextTo"/>
        <c:txPr>
          <a:bodyPr/>
          <a:lstStyle/>
          <a:p>
            <a:pPr>
              <a:defRPr b="1"/>
            </a:pPr>
            <a:endParaRPr lang="en-US"/>
          </a:p>
        </c:txPr>
        <c:crossAx val="227294208"/>
        <c:crosses val="autoZero"/>
        <c:auto val="1"/>
        <c:lblAlgn val="ctr"/>
        <c:lblOffset val="100"/>
        <c:noMultiLvlLbl val="0"/>
      </c:catAx>
      <c:valAx>
        <c:axId val="227294208"/>
        <c:scaling>
          <c:orientation val="minMax"/>
        </c:scaling>
        <c:delete val="1"/>
        <c:axPos val="b"/>
        <c:numFmt formatCode="0%" sourceLinked="0"/>
        <c:majorTickMark val="out"/>
        <c:minorTickMark val="none"/>
        <c:tickLblPos val="nextTo"/>
        <c:crossAx val="22729228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Mean Hourly Rate</a:t>
            </a:r>
          </a:p>
        </c:rich>
      </c:tx>
      <c:overlay val="0"/>
    </c:title>
    <c:autoTitleDeleted val="0"/>
    <c:plotArea>
      <c:layout/>
      <c:barChart>
        <c:barDir val="col"/>
        <c:grouping val="clustered"/>
        <c:varyColors val="0"/>
        <c:ser>
          <c:idx val="0"/>
          <c:order val="0"/>
          <c:tx>
            <c:strRef>
              <c:f>Charts!$C$16</c:f>
              <c:strCache>
                <c:ptCount val="1"/>
                <c:pt idx="0">
                  <c:v>Avg.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25CA-40F1-9AC6-591FD5696DBF}"/>
              </c:ext>
            </c:extLst>
          </c:dPt>
          <c:dLbls>
            <c:numFmt formatCode="&quot;£&quot;#,##0.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Charts!$B$17:$B$18</c:f>
              <c:strCache>
                <c:ptCount val="2"/>
                <c:pt idx="0">
                  <c:v>Male</c:v>
                </c:pt>
                <c:pt idx="1">
                  <c:v>Female</c:v>
                </c:pt>
              </c:strCache>
            </c:strRef>
          </c:cat>
          <c:val>
            <c:numRef>
              <c:f>Charts!$C$17:$C$18</c:f>
              <c:numCache>
                <c:formatCode>0.0000</c:formatCode>
                <c:ptCount val="2"/>
                <c:pt idx="0">
                  <c:v>17.174635748380357</c:v>
                </c:pt>
                <c:pt idx="1">
                  <c:v>16.469455260972392</c:v>
                </c:pt>
              </c:numCache>
            </c:numRef>
          </c:val>
          <c:extLst>
            <c:ext xmlns:c16="http://schemas.microsoft.com/office/drawing/2014/chart" uri="{C3380CC4-5D6E-409C-BE32-E72D297353CC}">
              <c16:uniqueId val="{00000002-25CA-40F1-9AC6-591FD5696DBF}"/>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txPr>
          <a:bodyPr/>
          <a:lstStyle/>
          <a:p>
            <a:pPr>
              <a:defRPr b="1"/>
            </a:pPr>
            <a:endParaRPr lang="en-US"/>
          </a:p>
        </c:txPr>
        <c:crossAx val="202389376"/>
        <c:crosses val="autoZero"/>
        <c:auto val="1"/>
        <c:lblAlgn val="ctr"/>
        <c:lblOffset val="100"/>
        <c:noMultiLvlLbl val="0"/>
      </c:catAx>
      <c:valAx>
        <c:axId val="202389376"/>
        <c:scaling>
          <c:orientation val="minMax"/>
        </c:scaling>
        <c:delete val="1"/>
        <c:axPos val="l"/>
        <c:numFmt formatCode="0.000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Median Hourly Pay</a:t>
            </a:r>
          </a:p>
        </c:rich>
      </c:tx>
      <c:overlay val="0"/>
    </c:title>
    <c:autoTitleDeleted val="0"/>
    <c:plotArea>
      <c:layout/>
      <c:barChart>
        <c:barDir val="col"/>
        <c:grouping val="clustered"/>
        <c:varyColors val="0"/>
        <c:ser>
          <c:idx val="0"/>
          <c:order val="0"/>
          <c:tx>
            <c:strRef>
              <c:f>graphs!$C$29</c:f>
              <c:strCache>
                <c:ptCount val="1"/>
                <c:pt idx="0">
                  <c:v>Median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B875-4791-B2FE-DBD9DE475048}"/>
              </c:ext>
            </c:extLst>
          </c:dPt>
          <c:dLbls>
            <c:numFmt formatCode="&quot;£&quot;#,##0.00" sourceLinked="0"/>
            <c:spPr>
              <a:noFill/>
              <a:ln>
                <a:noFill/>
              </a:ln>
              <a:effectLst/>
            </c:spPr>
            <c:txPr>
              <a:bodyPr/>
              <a:lstStyle/>
              <a:p>
                <a:pPr>
                  <a:defRPr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graphs!$A$30:$A$31</c:f>
              <c:strCache>
                <c:ptCount val="2"/>
                <c:pt idx="0">
                  <c:v>Male</c:v>
                </c:pt>
                <c:pt idx="1">
                  <c:v>Female</c:v>
                </c:pt>
              </c:strCache>
            </c:strRef>
          </c:cat>
          <c:val>
            <c:numRef>
              <c:f>graphs!$C$30:$C$31</c:f>
              <c:numCache>
                <c:formatCode>0.0000</c:formatCode>
                <c:ptCount val="2"/>
                <c:pt idx="0">
                  <c:v>15.733700630024501</c:v>
                </c:pt>
                <c:pt idx="1">
                  <c:v>16.126394052044599</c:v>
                </c:pt>
              </c:numCache>
            </c:numRef>
          </c:val>
          <c:extLst>
            <c:ext xmlns:c16="http://schemas.microsoft.com/office/drawing/2014/chart" uri="{C3380CC4-5D6E-409C-BE32-E72D297353CC}">
              <c16:uniqueId val="{00000002-B875-4791-B2FE-DBD9DE475048}"/>
            </c:ext>
          </c:extLst>
        </c:ser>
        <c:dLbls>
          <c:showLegendKey val="0"/>
          <c:showVal val="0"/>
          <c:showCatName val="0"/>
          <c:showSerName val="0"/>
          <c:showPercent val="0"/>
          <c:showBubbleSize val="0"/>
        </c:dLbls>
        <c:gapWidth val="150"/>
        <c:axId val="262278144"/>
        <c:axId val="262279936"/>
      </c:barChart>
      <c:catAx>
        <c:axId val="262278144"/>
        <c:scaling>
          <c:orientation val="minMax"/>
        </c:scaling>
        <c:delete val="0"/>
        <c:axPos val="b"/>
        <c:numFmt formatCode="General" sourceLinked="0"/>
        <c:majorTickMark val="out"/>
        <c:minorTickMark val="none"/>
        <c:tickLblPos val="nextTo"/>
        <c:txPr>
          <a:bodyPr/>
          <a:lstStyle/>
          <a:p>
            <a:pPr>
              <a:defRPr b="1"/>
            </a:pPr>
            <a:endParaRPr lang="en-US"/>
          </a:p>
        </c:txPr>
        <c:crossAx val="262279936"/>
        <c:crosses val="autoZero"/>
        <c:auto val="1"/>
        <c:lblAlgn val="ctr"/>
        <c:lblOffset val="100"/>
        <c:noMultiLvlLbl val="0"/>
      </c:catAx>
      <c:valAx>
        <c:axId val="262279936"/>
        <c:scaling>
          <c:orientation val="minMax"/>
          <c:max val="30"/>
        </c:scaling>
        <c:delete val="1"/>
        <c:axPos val="l"/>
        <c:numFmt formatCode="0.0000" sourceLinked="1"/>
        <c:majorTickMark val="out"/>
        <c:minorTickMark val="none"/>
        <c:tickLblPos val="nextTo"/>
        <c:crossAx val="262278144"/>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050"/>
              <a:t>Percentage</a:t>
            </a:r>
            <a:r>
              <a:rPr lang="en-GB" sz="1050" baseline="0"/>
              <a:t> of Gender in Pay Quartile excluding Medical Staff</a:t>
            </a:r>
            <a:endParaRPr lang="en-GB" sz="1050"/>
          </a:p>
        </c:rich>
      </c:tx>
      <c:overlay val="0"/>
    </c:title>
    <c:autoTitleDeleted val="0"/>
    <c:plotArea>
      <c:layout>
        <c:manualLayout>
          <c:layoutTarget val="inner"/>
          <c:xMode val="edge"/>
          <c:yMode val="edge"/>
          <c:x val="0.20037549836471782"/>
          <c:y val="0.125"/>
          <c:w val="0.75827476263453641"/>
          <c:h val="0.75902012248468942"/>
        </c:manualLayout>
      </c:layout>
      <c:barChart>
        <c:barDir val="bar"/>
        <c:grouping val="clustered"/>
        <c:varyColors val="0"/>
        <c:ser>
          <c:idx val="0"/>
          <c:order val="0"/>
          <c:tx>
            <c:strRef>
              <c:f>Charts!$J$16</c:f>
              <c:strCache>
                <c:ptCount val="1"/>
                <c:pt idx="0">
                  <c:v>Male %</c:v>
                </c:pt>
              </c:strCache>
            </c:strRef>
          </c:tx>
          <c:invertIfNegative val="0"/>
          <c:dLbls>
            <c:spPr>
              <a:noFill/>
              <a:ln>
                <a:noFill/>
              </a:ln>
              <a:effectLst/>
            </c:spPr>
            <c:txPr>
              <a:bodyPr/>
              <a:lstStyle/>
              <a:p>
                <a:pPr>
                  <a:defRPr sz="800"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Charts!$F$17:$F$20</c:f>
              <c:strCache>
                <c:ptCount val="4"/>
                <c:pt idx="0">
                  <c:v>Lower Quartile</c:v>
                </c:pt>
                <c:pt idx="1">
                  <c:v>Lower Middle Quartile</c:v>
                </c:pt>
                <c:pt idx="2">
                  <c:v>Upper Middle Quartile</c:v>
                </c:pt>
                <c:pt idx="3">
                  <c:v>Upper Quartile</c:v>
                </c:pt>
              </c:strCache>
            </c:strRef>
          </c:cat>
          <c:val>
            <c:numRef>
              <c:f>Charts!$J$17:$J$20</c:f>
              <c:numCache>
                <c:formatCode>0.00%</c:formatCode>
                <c:ptCount val="4"/>
                <c:pt idx="0">
                  <c:v>0.1465816917728853</c:v>
                </c:pt>
                <c:pt idx="1">
                  <c:v>0.16048667439165701</c:v>
                </c:pt>
                <c:pt idx="2">
                  <c:v>0.13035921205098494</c:v>
                </c:pt>
                <c:pt idx="3">
                  <c:v>0.16155182397220613</c:v>
                </c:pt>
              </c:numCache>
            </c:numRef>
          </c:val>
          <c:extLst>
            <c:ext xmlns:c16="http://schemas.microsoft.com/office/drawing/2014/chart" uri="{C3380CC4-5D6E-409C-BE32-E72D297353CC}">
              <c16:uniqueId val="{00000000-41B7-4854-BA5E-F743BCE7AE5E}"/>
            </c:ext>
          </c:extLst>
        </c:ser>
        <c:ser>
          <c:idx val="1"/>
          <c:order val="1"/>
          <c:tx>
            <c:strRef>
              <c:f>Charts!$I$16</c:f>
              <c:strCache>
                <c:ptCount val="1"/>
                <c:pt idx="0">
                  <c:v>Female %</c:v>
                </c:pt>
              </c:strCache>
            </c:strRef>
          </c:tx>
          <c:invertIfNegative val="0"/>
          <c:dPt>
            <c:idx val="0"/>
            <c:invertIfNegative val="0"/>
            <c:bubble3D val="0"/>
            <c:spPr>
              <a:solidFill>
                <a:srgbClr val="C00000"/>
              </a:solidFill>
            </c:spPr>
            <c:extLst>
              <c:ext xmlns:c16="http://schemas.microsoft.com/office/drawing/2014/chart" uri="{C3380CC4-5D6E-409C-BE32-E72D297353CC}">
                <c16:uniqueId val="{00000006-41B7-4854-BA5E-F743BCE7AE5E}"/>
              </c:ext>
            </c:extLst>
          </c:dPt>
          <c:dPt>
            <c:idx val="1"/>
            <c:invertIfNegative val="0"/>
            <c:bubble3D val="0"/>
            <c:spPr>
              <a:solidFill>
                <a:srgbClr val="C00000"/>
              </a:solidFill>
            </c:spPr>
            <c:extLst>
              <c:ext xmlns:c16="http://schemas.microsoft.com/office/drawing/2014/chart" uri="{C3380CC4-5D6E-409C-BE32-E72D297353CC}">
                <c16:uniqueId val="{00000005-41B7-4854-BA5E-F743BCE7AE5E}"/>
              </c:ext>
            </c:extLst>
          </c:dPt>
          <c:dPt>
            <c:idx val="2"/>
            <c:invertIfNegative val="0"/>
            <c:bubble3D val="0"/>
            <c:spPr>
              <a:solidFill>
                <a:srgbClr val="C00000"/>
              </a:solidFill>
            </c:spPr>
            <c:extLst>
              <c:ext xmlns:c16="http://schemas.microsoft.com/office/drawing/2014/chart" uri="{C3380CC4-5D6E-409C-BE32-E72D297353CC}">
                <c16:uniqueId val="{00000004-41B7-4854-BA5E-F743BCE7AE5E}"/>
              </c:ext>
            </c:extLst>
          </c:dPt>
          <c:dPt>
            <c:idx val="3"/>
            <c:invertIfNegative val="0"/>
            <c:bubble3D val="0"/>
            <c:spPr>
              <a:solidFill>
                <a:srgbClr val="C00000"/>
              </a:solidFill>
            </c:spPr>
            <c:extLst>
              <c:ext xmlns:c16="http://schemas.microsoft.com/office/drawing/2014/chart" uri="{C3380CC4-5D6E-409C-BE32-E72D297353CC}">
                <c16:uniqueId val="{00000003-41B7-4854-BA5E-F743BCE7AE5E}"/>
              </c:ext>
            </c:extLst>
          </c:dPt>
          <c:dLbls>
            <c:spPr>
              <a:noFill/>
              <a:ln>
                <a:noFill/>
              </a:ln>
              <a:effectLst/>
            </c:spPr>
            <c:txPr>
              <a:bodyPr/>
              <a:lstStyle/>
              <a:p>
                <a:pPr>
                  <a:defRPr sz="800" baseline="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Charts!$F$17:$F$20</c:f>
              <c:strCache>
                <c:ptCount val="4"/>
                <c:pt idx="0">
                  <c:v>Lower Quartile</c:v>
                </c:pt>
                <c:pt idx="1">
                  <c:v>Lower Middle Quartile</c:v>
                </c:pt>
                <c:pt idx="2">
                  <c:v>Upper Middle Quartile</c:v>
                </c:pt>
                <c:pt idx="3">
                  <c:v>Upper Quartile</c:v>
                </c:pt>
              </c:strCache>
            </c:strRef>
          </c:cat>
          <c:val>
            <c:numRef>
              <c:f>Charts!$I$17:$I$20</c:f>
              <c:numCache>
                <c:formatCode>0.00%</c:formatCode>
                <c:ptCount val="4"/>
                <c:pt idx="0">
                  <c:v>0.85341830822711473</c:v>
                </c:pt>
                <c:pt idx="1">
                  <c:v>0.83951332560834302</c:v>
                </c:pt>
                <c:pt idx="2">
                  <c:v>0.86964078794901511</c:v>
                </c:pt>
                <c:pt idx="3">
                  <c:v>0.83844817602779387</c:v>
                </c:pt>
              </c:numCache>
            </c:numRef>
          </c:val>
          <c:extLst>
            <c:ext xmlns:c16="http://schemas.microsoft.com/office/drawing/2014/chart" uri="{C3380CC4-5D6E-409C-BE32-E72D297353CC}">
              <c16:uniqueId val="{00000001-41B7-4854-BA5E-F743BCE7AE5E}"/>
            </c:ext>
          </c:extLst>
        </c:ser>
        <c:dLbls>
          <c:showLegendKey val="0"/>
          <c:showVal val="0"/>
          <c:showCatName val="0"/>
          <c:showSerName val="0"/>
          <c:showPercent val="0"/>
          <c:showBubbleSize val="0"/>
        </c:dLbls>
        <c:gapWidth val="75"/>
        <c:axId val="227292288"/>
        <c:axId val="227294208"/>
      </c:barChart>
      <c:catAx>
        <c:axId val="227292288"/>
        <c:scaling>
          <c:orientation val="minMax"/>
        </c:scaling>
        <c:delete val="0"/>
        <c:axPos val="l"/>
        <c:numFmt formatCode="General" sourceLinked="0"/>
        <c:majorTickMark val="out"/>
        <c:minorTickMark val="none"/>
        <c:tickLblPos val="nextTo"/>
        <c:crossAx val="227294208"/>
        <c:crosses val="autoZero"/>
        <c:auto val="1"/>
        <c:lblAlgn val="ctr"/>
        <c:lblOffset val="100"/>
        <c:noMultiLvlLbl val="0"/>
      </c:catAx>
      <c:valAx>
        <c:axId val="227294208"/>
        <c:scaling>
          <c:orientation val="minMax"/>
        </c:scaling>
        <c:delete val="1"/>
        <c:axPos val="b"/>
        <c:numFmt formatCode="0%" sourceLinked="0"/>
        <c:majorTickMark val="out"/>
        <c:minorTickMark val="none"/>
        <c:tickLblPos val="nextTo"/>
        <c:crossAx val="22729228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aseline="0"/>
            </a:pPr>
            <a:r>
              <a:rPr lang="en-US" sz="1400" baseline="0"/>
              <a:t>All Medical Staff Mean Hourly Rate</a:t>
            </a:r>
          </a:p>
        </c:rich>
      </c:tx>
      <c:overlay val="0"/>
    </c:title>
    <c:autoTitleDeleted val="0"/>
    <c:plotArea>
      <c:layout/>
      <c:barChart>
        <c:barDir val="col"/>
        <c:grouping val="clustered"/>
        <c:varyColors val="0"/>
        <c:ser>
          <c:idx val="0"/>
          <c:order val="0"/>
          <c:tx>
            <c:strRef>
              <c:f>Charts!$C$31</c:f>
              <c:strCache>
                <c:ptCount val="1"/>
                <c:pt idx="0">
                  <c:v>Avg. Hourly Rate</c:v>
                </c:pt>
              </c:strCache>
            </c:strRef>
          </c:tx>
          <c:spPr>
            <a:solidFill>
              <a:srgbClr val="C00000"/>
            </a:solidFill>
          </c:spPr>
          <c:invertIfNegative val="0"/>
          <c:dPt>
            <c:idx val="0"/>
            <c:invertIfNegative val="0"/>
            <c:bubble3D val="0"/>
            <c:spPr>
              <a:solidFill>
                <a:schemeClr val="accent1"/>
              </a:solidFill>
            </c:spPr>
            <c:extLst>
              <c:ext xmlns:c16="http://schemas.microsoft.com/office/drawing/2014/chart" uri="{C3380CC4-5D6E-409C-BE32-E72D297353CC}">
                <c16:uniqueId val="{00000001-A060-4880-A86B-0BEBAE0ED867}"/>
              </c:ext>
            </c:extLst>
          </c:dPt>
          <c:dLbls>
            <c:numFmt formatCode="&quot;£&quot;#,##0.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Charts!$B$32:$B$33</c:f>
              <c:strCache>
                <c:ptCount val="2"/>
                <c:pt idx="0">
                  <c:v>Male</c:v>
                </c:pt>
                <c:pt idx="1">
                  <c:v>Female</c:v>
                </c:pt>
              </c:strCache>
            </c:strRef>
          </c:cat>
          <c:val>
            <c:numRef>
              <c:f>Charts!$C$32:$C$33</c:f>
              <c:numCache>
                <c:formatCode>0.0000</c:formatCode>
                <c:ptCount val="2"/>
                <c:pt idx="0">
                  <c:v>36.873098958472895</c:v>
                </c:pt>
                <c:pt idx="1">
                  <c:v>30.217784206820909</c:v>
                </c:pt>
              </c:numCache>
            </c:numRef>
          </c:val>
          <c:extLst>
            <c:ext xmlns:c16="http://schemas.microsoft.com/office/drawing/2014/chart" uri="{C3380CC4-5D6E-409C-BE32-E72D297353CC}">
              <c16:uniqueId val="{00000002-A060-4880-A86B-0BEBAE0ED867}"/>
            </c:ext>
          </c:extLst>
        </c:ser>
        <c:dLbls>
          <c:showLegendKey val="0"/>
          <c:showVal val="0"/>
          <c:showCatName val="0"/>
          <c:showSerName val="0"/>
          <c:showPercent val="0"/>
          <c:showBubbleSize val="0"/>
        </c:dLbls>
        <c:gapWidth val="150"/>
        <c:axId val="202387840"/>
        <c:axId val="202389376"/>
      </c:barChart>
      <c:catAx>
        <c:axId val="202387840"/>
        <c:scaling>
          <c:orientation val="minMax"/>
        </c:scaling>
        <c:delete val="0"/>
        <c:axPos val="b"/>
        <c:numFmt formatCode="General" sourceLinked="0"/>
        <c:majorTickMark val="out"/>
        <c:minorTickMark val="none"/>
        <c:tickLblPos val="nextTo"/>
        <c:crossAx val="202389376"/>
        <c:crosses val="autoZero"/>
        <c:auto val="1"/>
        <c:lblAlgn val="ctr"/>
        <c:lblOffset val="100"/>
        <c:noMultiLvlLbl val="0"/>
      </c:catAx>
      <c:valAx>
        <c:axId val="202389376"/>
        <c:scaling>
          <c:orientation val="minMax"/>
        </c:scaling>
        <c:delete val="1"/>
        <c:axPos val="l"/>
        <c:numFmt formatCode="0.0000" sourceLinked="1"/>
        <c:majorTickMark val="out"/>
        <c:minorTickMark val="none"/>
        <c:tickLblPos val="nextTo"/>
        <c:crossAx val="20238784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Median Hourly Rate</c:v>
                </c:pt>
              </c:strCache>
            </c:strRef>
          </c:tx>
          <c:spPr>
            <a:solidFill>
              <a:schemeClr val="accent1"/>
            </a:solidFill>
            <a:ln>
              <a:noFill/>
            </a:ln>
            <a:effectLst/>
          </c:spPr>
          <c:invertIfNegative val="0"/>
          <c:dPt>
            <c:idx val="1"/>
            <c:invertIfNegative val="0"/>
            <c:bubble3D val="0"/>
            <c:spPr>
              <a:solidFill>
                <a:srgbClr val="C00000"/>
              </a:solidFill>
              <a:ln>
                <a:noFill/>
              </a:ln>
              <a:effectLst/>
            </c:spPr>
            <c:extLst>
              <c:ext xmlns:c16="http://schemas.microsoft.com/office/drawing/2014/chart" uri="{C3380CC4-5D6E-409C-BE32-E72D297353CC}">
                <c16:uniqueId val="{00000001-0F85-465B-A91C-C6DD1B61A787}"/>
              </c:ext>
            </c:extLst>
          </c:dPt>
          <c:dLbls>
            <c:dLbl>
              <c:idx val="0"/>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£29.02</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214010026145339"/>
                      <c:h val="7.4004811898512685E-2"/>
                    </c:manualLayout>
                  </c15:layout>
                  <c15:showDataLabelsRange val="0"/>
                </c:ext>
                <c:ext xmlns:c16="http://schemas.microsoft.com/office/drawing/2014/chart" uri="{C3380CC4-5D6E-409C-BE32-E72D297353CC}">
                  <c16:uniqueId val="{00000002-0F85-465B-A91C-C6DD1B61A787}"/>
                </c:ext>
              </c:extLst>
            </c:dLbl>
            <c:dLbl>
              <c:idx val="1"/>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a:solidFill>
                          <a:sysClr val="windowText" lastClr="000000"/>
                        </a:solidFill>
                      </a:rPr>
                      <a:t>£27.58</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0.15492501880916446"/>
                      <c:h val="8.3264071157771929E-2"/>
                    </c:manualLayout>
                  </c15:layout>
                  <c15:showDataLabelsRange val="0"/>
                </c:ext>
                <c:ext xmlns:c16="http://schemas.microsoft.com/office/drawing/2014/chart" uri="{C3380CC4-5D6E-409C-BE32-E72D297353CC}">
                  <c16:uniqueId val="{00000001-0F85-465B-A91C-C6DD1B61A78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Male</c:v>
                </c:pt>
                <c:pt idx="1">
                  <c:v>Female</c:v>
                </c:pt>
              </c:strCache>
            </c:strRef>
          </c:cat>
          <c:val>
            <c:numRef>
              <c:f>Sheet1!$B$2:$B$3</c:f>
              <c:numCache>
                <c:formatCode>0.0000</c:formatCode>
                <c:ptCount val="2"/>
                <c:pt idx="0">
                  <c:v>29.016540812657301</c:v>
                </c:pt>
                <c:pt idx="1">
                  <c:v>27.577777777777801</c:v>
                </c:pt>
              </c:numCache>
            </c:numRef>
          </c:val>
          <c:extLst>
            <c:ext xmlns:c16="http://schemas.microsoft.com/office/drawing/2014/chart" uri="{C3380CC4-5D6E-409C-BE32-E72D297353CC}">
              <c16:uniqueId val="{00000003-0F85-465B-A91C-C6DD1B61A787}"/>
            </c:ext>
          </c:extLst>
        </c:ser>
        <c:dLbls>
          <c:dLblPos val="outEnd"/>
          <c:showLegendKey val="0"/>
          <c:showVal val="1"/>
          <c:showCatName val="0"/>
          <c:showSerName val="0"/>
          <c:showPercent val="0"/>
          <c:showBubbleSize val="0"/>
        </c:dLbls>
        <c:gapWidth val="219"/>
        <c:overlap val="-27"/>
        <c:axId val="1393931855"/>
        <c:axId val="1393923951"/>
      </c:barChart>
      <c:catAx>
        <c:axId val="1393931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3923951"/>
        <c:crosses val="autoZero"/>
        <c:auto val="1"/>
        <c:lblAlgn val="ctr"/>
        <c:lblOffset val="100"/>
        <c:noMultiLvlLbl val="0"/>
      </c:catAx>
      <c:valAx>
        <c:axId val="1393923951"/>
        <c:scaling>
          <c:orientation val="minMax"/>
        </c:scaling>
        <c:delete val="1"/>
        <c:axPos val="l"/>
        <c:numFmt formatCode="0.00" sourceLinked="0"/>
        <c:majorTickMark val="none"/>
        <c:minorTickMark val="none"/>
        <c:tickLblPos val="nextTo"/>
        <c:crossAx val="13939318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030E78-EBB5-48E5-98AE-BCB43B912E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10</Pages>
  <Words>2080</Words>
  <Characters>11857</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Gloucestershire Hospitals NHS Foundation Trust</Company>
  <LinksUpToDate>false</LinksUpToDate>
  <CharactersWithSpaces>13910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 Foreman</dc:creator>
  <cp:keywords>Board;Agenda</cp:keywords>
  <cp:lastModifiedBy>BOSTON, Coral (GLOUCESTERSHIRE HOSPITALS NHS FOUNDATION TRUST)</cp:lastModifiedBy>
  <cp:revision>5</cp:revision>
  <cp:lastPrinted>2023-03-08T15:37:00Z</cp:lastPrinted>
  <dcterms:created xsi:type="dcterms:W3CDTF">2023-03-23T08:05:00Z</dcterms:created>
  <dcterms:modified xsi:type="dcterms:W3CDTF">2023-03-23T12:44:00Z</dcterms:modified>
</cp:coreProperties>
</file>