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D26E" w14:textId="77777777" w:rsidR="0045657B" w:rsidRDefault="001B5E9B" w:rsidP="0045657B">
      <w:pPr>
        <w:pStyle w:val="FootnoteText"/>
        <w:spacing w:before="360" w:after="360"/>
        <w:jc w:val="center"/>
        <w:rPr>
          <w:rFonts w:ascii="Arial" w:hAnsi="Arial"/>
          <w:b/>
          <w:sz w:val="28"/>
        </w:rPr>
      </w:pPr>
      <w:r>
        <w:rPr>
          <w:rFonts w:ascii="Arial" w:hAnsi="Arial"/>
          <w:noProof/>
          <w:sz w:val="20"/>
        </w:rPr>
        <w:drawing>
          <wp:inline distT="0" distB="0" distL="0" distR="0" wp14:anchorId="575E085C" wp14:editId="1E8F20EB">
            <wp:extent cx="6277821" cy="8888400"/>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821" cy="8888400"/>
                    </a:xfrm>
                    <a:prstGeom prst="rect">
                      <a:avLst/>
                    </a:prstGeom>
                    <a:noFill/>
                    <a:ln>
                      <a:noFill/>
                    </a:ln>
                  </pic:spPr>
                </pic:pic>
              </a:graphicData>
            </a:graphic>
          </wp:inline>
        </w:drawing>
      </w:r>
    </w:p>
    <w:p w14:paraId="2E44F79E" w14:textId="77777777" w:rsidR="005952E7" w:rsidRDefault="005952E7" w:rsidP="0045657B">
      <w:pPr>
        <w:pStyle w:val="FootnoteText"/>
        <w:spacing w:before="360" w:after="360"/>
        <w:rPr>
          <w:rFonts w:ascii="Arial" w:hAnsi="Arial"/>
          <w:b/>
          <w:sz w:val="28"/>
        </w:rPr>
      </w:pPr>
    </w:p>
    <w:p w14:paraId="14236E22" w14:textId="03E7FC00" w:rsidR="001B5E9B" w:rsidRPr="0045657B" w:rsidRDefault="001B5E9B" w:rsidP="0045657B">
      <w:pPr>
        <w:pStyle w:val="FootnoteText"/>
        <w:spacing w:before="360" w:after="360"/>
        <w:rPr>
          <w:rFonts w:ascii="Arial" w:hAnsi="Arial"/>
          <w:sz w:val="20"/>
        </w:rPr>
      </w:pPr>
      <w:r>
        <w:rPr>
          <w:rFonts w:ascii="Arial" w:hAnsi="Arial"/>
          <w:b/>
          <w:sz w:val="28"/>
        </w:rPr>
        <w:lastRenderedPageBreak/>
        <w:t>Introduction</w:t>
      </w:r>
      <w:r w:rsidRPr="001E4401">
        <w:rPr>
          <w:rFonts w:ascii="Arial" w:hAnsi="Arial" w:cs="Arial"/>
        </w:rPr>
        <w:t xml:space="preserve"> </w:t>
      </w:r>
    </w:p>
    <w:p w14:paraId="1FCC882E" w14:textId="025CC79C" w:rsidR="001B5E9B" w:rsidRPr="002B0D32" w:rsidRDefault="001B5E9B" w:rsidP="00C72AE2">
      <w:pPr>
        <w:rPr>
          <w:rFonts w:ascii="Arial" w:hAnsi="Arial" w:cs="Arial"/>
          <w:szCs w:val="24"/>
        </w:rPr>
      </w:pPr>
      <w:r w:rsidRPr="002B0D32">
        <w:rPr>
          <w:rFonts w:ascii="Arial" w:hAnsi="Arial" w:cs="Arial"/>
          <w:szCs w:val="24"/>
        </w:rPr>
        <w:t xml:space="preserve">Welcome to the </w:t>
      </w:r>
      <w:r w:rsidR="001707E1">
        <w:rPr>
          <w:rFonts w:ascii="Arial" w:hAnsi="Arial" w:cs="Arial"/>
          <w:szCs w:val="24"/>
        </w:rPr>
        <w:t xml:space="preserve">2023 </w:t>
      </w:r>
      <w:r w:rsidRPr="002B0D32">
        <w:rPr>
          <w:rFonts w:ascii="Arial" w:hAnsi="Arial" w:cs="Arial"/>
          <w:szCs w:val="24"/>
        </w:rPr>
        <w:t>Workforce Race Equality Standard (WRES) Report.</w:t>
      </w:r>
      <w:r w:rsidR="001707E1">
        <w:rPr>
          <w:rFonts w:ascii="Arial" w:hAnsi="Arial" w:cs="Arial"/>
          <w:szCs w:val="24"/>
        </w:rPr>
        <w:t xml:space="preserve"> </w:t>
      </w:r>
      <w:r w:rsidRPr="002B0D32">
        <w:rPr>
          <w:rFonts w:ascii="Arial" w:hAnsi="Arial" w:cs="Arial"/>
          <w:szCs w:val="24"/>
        </w:rPr>
        <w:t xml:space="preserve">The WRES report enables the Trust to publish data on the employment experiences of our Black, and Minority Ethnic (BME) staff compared to those of our white staff. </w:t>
      </w:r>
    </w:p>
    <w:p w14:paraId="0491109A" w14:textId="77777777" w:rsidR="001B5E9B" w:rsidRPr="002B0D32" w:rsidRDefault="001B5E9B" w:rsidP="00C72AE2">
      <w:pPr>
        <w:rPr>
          <w:rFonts w:ascii="Arial" w:hAnsi="Arial" w:cs="Arial"/>
          <w:szCs w:val="24"/>
        </w:rPr>
      </w:pPr>
    </w:p>
    <w:p w14:paraId="4C3686C9" w14:textId="7ECE4ED5" w:rsidR="001B5E9B" w:rsidRDefault="001B5E9B" w:rsidP="00C72AE2">
      <w:pPr>
        <w:rPr>
          <w:rFonts w:ascii="Arial" w:hAnsi="Arial" w:cs="Arial"/>
          <w:szCs w:val="24"/>
        </w:rPr>
      </w:pPr>
      <w:r w:rsidRPr="002B0D32">
        <w:rPr>
          <w:rFonts w:ascii="Arial" w:hAnsi="Arial" w:cs="Arial"/>
          <w:szCs w:val="24"/>
        </w:rPr>
        <w:t>The WRES was introduced in 2015</w:t>
      </w:r>
      <w:r w:rsidR="000351CE">
        <w:rPr>
          <w:rFonts w:ascii="Arial" w:hAnsi="Arial" w:cs="Arial"/>
          <w:szCs w:val="24"/>
        </w:rPr>
        <w:t>, d</w:t>
      </w:r>
      <w:r>
        <w:rPr>
          <w:rFonts w:ascii="Arial" w:hAnsi="Arial" w:cs="Arial"/>
          <w:szCs w:val="24"/>
        </w:rPr>
        <w:t>esigned to demonstrate progress in ensuring colleagues from BME backgrounds have equal access to opportunities and receive fair treatment in the workplace.</w:t>
      </w:r>
    </w:p>
    <w:p w14:paraId="62DDB89D" w14:textId="77777777" w:rsidR="001B5E9B" w:rsidRDefault="001B5E9B" w:rsidP="00C72AE2">
      <w:pPr>
        <w:rPr>
          <w:rFonts w:ascii="Arial" w:hAnsi="Arial" w:cs="Arial"/>
          <w:szCs w:val="24"/>
        </w:rPr>
      </w:pPr>
    </w:p>
    <w:p w14:paraId="6F0058F1" w14:textId="0F941EA6" w:rsidR="001B5E9B" w:rsidRPr="002B0D32" w:rsidRDefault="001707E1" w:rsidP="00C72AE2">
      <w:pPr>
        <w:rPr>
          <w:rFonts w:ascii="Arial" w:hAnsi="Arial" w:cs="Arial"/>
          <w:szCs w:val="24"/>
        </w:rPr>
      </w:pPr>
      <w:r>
        <w:rPr>
          <w:rFonts w:ascii="Arial" w:hAnsi="Arial" w:cs="Arial"/>
          <w:szCs w:val="24"/>
        </w:rPr>
        <w:t>N</w:t>
      </w:r>
      <w:r w:rsidR="001B5E9B" w:rsidRPr="002B0D32">
        <w:rPr>
          <w:rFonts w:ascii="Arial" w:hAnsi="Arial" w:cs="Arial"/>
          <w:szCs w:val="24"/>
        </w:rPr>
        <w:t xml:space="preserve">ine measures (metrics) enable NHS organisations to compare the experience of BME and white staff. The information provided within this report includes the data for the nine key WRES metrics and describes the actions taken during 2022 and those planned for 2023/24. These actions </w:t>
      </w:r>
      <w:r>
        <w:rPr>
          <w:rFonts w:ascii="Arial" w:hAnsi="Arial" w:cs="Arial"/>
          <w:szCs w:val="24"/>
        </w:rPr>
        <w:t xml:space="preserve">are </w:t>
      </w:r>
      <w:r w:rsidR="001B5E9B" w:rsidRPr="002B0D32">
        <w:rPr>
          <w:rFonts w:ascii="Arial" w:hAnsi="Arial" w:cs="Arial"/>
          <w:szCs w:val="24"/>
        </w:rPr>
        <w:t xml:space="preserve">based on areas for further development, identified and informed through the WRES metrics and action plan, and staff survey. Metrics 5 to 8 are based on </w:t>
      </w:r>
      <w:r w:rsidR="00B226A4">
        <w:rPr>
          <w:rFonts w:ascii="Arial" w:hAnsi="Arial" w:cs="Arial"/>
          <w:szCs w:val="24"/>
        </w:rPr>
        <w:t xml:space="preserve">the </w:t>
      </w:r>
      <w:r w:rsidR="001B5E9B" w:rsidRPr="002B0D32">
        <w:rPr>
          <w:rFonts w:ascii="Arial" w:hAnsi="Arial" w:cs="Arial"/>
          <w:szCs w:val="24"/>
        </w:rPr>
        <w:t xml:space="preserve">staff survey results for 2022. </w:t>
      </w:r>
    </w:p>
    <w:p w14:paraId="7B6103B1" w14:textId="77777777" w:rsidR="001B5E9B" w:rsidRPr="002B0D32" w:rsidRDefault="001B5E9B" w:rsidP="00C72AE2">
      <w:pPr>
        <w:rPr>
          <w:rFonts w:ascii="Arial" w:hAnsi="Arial"/>
          <w:szCs w:val="24"/>
        </w:rPr>
      </w:pPr>
    </w:p>
    <w:p w14:paraId="53D79E1A" w14:textId="1E395415" w:rsidR="001B5E9B" w:rsidRDefault="001B5E9B" w:rsidP="00C72AE2">
      <w:pPr>
        <w:rPr>
          <w:rFonts w:ascii="Arial" w:hAnsi="Arial" w:cs="Arial"/>
          <w:szCs w:val="24"/>
        </w:rPr>
      </w:pPr>
      <w:r w:rsidRPr="002B0D32">
        <w:rPr>
          <w:rFonts w:ascii="Arial" w:hAnsi="Arial" w:cs="Arial"/>
          <w:szCs w:val="24"/>
        </w:rPr>
        <w:t>At Gloucestershire Hospital NHS Foundation</w:t>
      </w:r>
      <w:r w:rsidR="001707E1">
        <w:rPr>
          <w:rFonts w:ascii="Arial" w:hAnsi="Arial" w:cs="Arial"/>
          <w:szCs w:val="24"/>
        </w:rPr>
        <w:t xml:space="preserve"> </w:t>
      </w:r>
      <w:r w:rsidRPr="002B0D32">
        <w:rPr>
          <w:rFonts w:ascii="Arial" w:hAnsi="Arial" w:cs="Arial"/>
          <w:szCs w:val="24"/>
        </w:rPr>
        <w:t>Trust</w:t>
      </w:r>
      <w:r w:rsidR="001707E1">
        <w:rPr>
          <w:rFonts w:ascii="Arial" w:hAnsi="Arial" w:cs="Arial"/>
          <w:szCs w:val="24"/>
        </w:rPr>
        <w:t xml:space="preserve"> (GHNHSFT)</w:t>
      </w:r>
      <w:r w:rsidRPr="002B0D32">
        <w:rPr>
          <w:rFonts w:ascii="Arial" w:hAnsi="Arial" w:cs="Arial"/>
          <w:szCs w:val="24"/>
        </w:rPr>
        <w:t xml:space="preserve">, as at </w:t>
      </w:r>
      <w:r w:rsidRPr="00D5384E">
        <w:rPr>
          <w:rFonts w:ascii="Arial" w:hAnsi="Arial" w:cs="Arial"/>
          <w:szCs w:val="24"/>
        </w:rPr>
        <w:t>31</w:t>
      </w:r>
      <w:r w:rsidRPr="00D5384E">
        <w:rPr>
          <w:rFonts w:ascii="Arial" w:hAnsi="Arial" w:cs="Arial"/>
          <w:szCs w:val="24"/>
          <w:vertAlign w:val="superscript"/>
        </w:rPr>
        <w:t>st</w:t>
      </w:r>
      <w:r w:rsidRPr="00D5384E">
        <w:rPr>
          <w:rFonts w:ascii="Arial" w:hAnsi="Arial" w:cs="Arial"/>
          <w:szCs w:val="24"/>
        </w:rPr>
        <w:t xml:space="preserve"> March 2023,</w:t>
      </w:r>
      <w:r w:rsidRPr="002B0D32">
        <w:rPr>
          <w:rFonts w:ascii="Arial" w:hAnsi="Arial" w:cs="Arial"/>
          <w:szCs w:val="24"/>
        </w:rPr>
        <w:t xml:space="preserve"> our Electronic Staff Records (ESR) data shows the following:</w:t>
      </w:r>
    </w:p>
    <w:p w14:paraId="73831196" w14:textId="77777777" w:rsidR="005952E7" w:rsidRDefault="005952E7" w:rsidP="001B5E9B">
      <w:pPr>
        <w:jc w:val="both"/>
        <w:rPr>
          <w:rFonts w:ascii="Arial" w:hAnsi="Arial" w:cs="Arial"/>
          <w:szCs w:val="24"/>
        </w:rPr>
      </w:pPr>
    </w:p>
    <w:p w14:paraId="3E7CB130" w14:textId="77777777" w:rsidR="001B5E9B" w:rsidRPr="002B0D32" w:rsidRDefault="001B5E9B" w:rsidP="001B5E9B">
      <w:pPr>
        <w:jc w:val="both"/>
        <w:rPr>
          <w:rFonts w:ascii="Arial" w:hAnsi="Arial" w:cs="Arial"/>
          <w:szCs w:val="24"/>
        </w:rPr>
      </w:pPr>
    </w:p>
    <w:tbl>
      <w:tblPr>
        <w:tblStyle w:val="TableGrid"/>
        <w:tblW w:w="10938" w:type="dxa"/>
        <w:tblInd w:w="108" w:type="dxa"/>
        <w:tblLook w:val="04A0" w:firstRow="1" w:lastRow="0" w:firstColumn="1" w:lastColumn="0" w:noHBand="0" w:noVBand="1"/>
      </w:tblPr>
      <w:tblGrid>
        <w:gridCol w:w="2160"/>
        <w:gridCol w:w="1571"/>
        <w:gridCol w:w="897"/>
        <w:gridCol w:w="1571"/>
        <w:gridCol w:w="897"/>
        <w:gridCol w:w="3842"/>
      </w:tblGrid>
      <w:tr w:rsidR="001B5E9B" w:rsidRPr="00395526" w14:paraId="4DD7CEA2" w14:textId="77777777" w:rsidTr="001B5E9B">
        <w:tc>
          <w:tcPr>
            <w:tcW w:w="2160" w:type="dxa"/>
            <w:shd w:val="clear" w:color="auto" w:fill="95B3D7" w:themeFill="accent1" w:themeFillTint="99"/>
          </w:tcPr>
          <w:p w14:paraId="15F04EAE" w14:textId="77777777" w:rsidR="001B5E9B" w:rsidRPr="00395526" w:rsidRDefault="001B5E9B" w:rsidP="00402A38">
            <w:pPr>
              <w:jc w:val="center"/>
              <w:rPr>
                <w:rFonts w:ascii="Arial" w:hAnsi="Arial" w:cs="Arial"/>
                <w:sz w:val="28"/>
                <w:szCs w:val="28"/>
              </w:rPr>
            </w:pPr>
            <w:bookmarkStart w:id="0" w:name="_Hlk138172219"/>
            <w:r w:rsidRPr="00395526">
              <w:rPr>
                <w:rFonts w:ascii="Arial" w:hAnsi="Arial" w:cs="Arial"/>
                <w:sz w:val="28"/>
                <w:szCs w:val="28"/>
              </w:rPr>
              <w:t>Workforce Data</w:t>
            </w:r>
          </w:p>
        </w:tc>
        <w:tc>
          <w:tcPr>
            <w:tcW w:w="1571" w:type="dxa"/>
            <w:shd w:val="clear" w:color="auto" w:fill="95B3D7" w:themeFill="accent1" w:themeFillTint="99"/>
          </w:tcPr>
          <w:p w14:paraId="3F07375D" w14:textId="77777777" w:rsidR="001B5E9B" w:rsidRPr="00395526" w:rsidRDefault="001B5E9B" w:rsidP="00402A38">
            <w:pPr>
              <w:jc w:val="center"/>
              <w:rPr>
                <w:rFonts w:ascii="Arial" w:hAnsi="Arial" w:cs="Arial"/>
                <w:sz w:val="28"/>
                <w:szCs w:val="28"/>
              </w:rPr>
            </w:pPr>
            <w:r w:rsidRPr="00395526">
              <w:rPr>
                <w:rFonts w:ascii="Arial" w:hAnsi="Arial" w:cs="Arial"/>
                <w:sz w:val="28"/>
                <w:szCs w:val="28"/>
              </w:rPr>
              <w:t>20</w:t>
            </w:r>
            <w:r>
              <w:rPr>
                <w:rFonts w:ascii="Arial" w:hAnsi="Arial" w:cs="Arial"/>
                <w:sz w:val="28"/>
                <w:szCs w:val="28"/>
              </w:rPr>
              <w:t>22/</w:t>
            </w:r>
            <w:r w:rsidRPr="00395526">
              <w:rPr>
                <w:rFonts w:ascii="Arial" w:hAnsi="Arial" w:cs="Arial"/>
                <w:sz w:val="28"/>
                <w:szCs w:val="28"/>
              </w:rPr>
              <w:t>23 Headcount</w:t>
            </w:r>
          </w:p>
        </w:tc>
        <w:tc>
          <w:tcPr>
            <w:tcW w:w="897" w:type="dxa"/>
            <w:shd w:val="clear" w:color="auto" w:fill="95B3D7" w:themeFill="accent1" w:themeFillTint="99"/>
          </w:tcPr>
          <w:p w14:paraId="12E3AF93" w14:textId="77777777" w:rsidR="001B5E9B" w:rsidRPr="00395526" w:rsidRDefault="001B5E9B" w:rsidP="00402A38">
            <w:pPr>
              <w:jc w:val="center"/>
              <w:rPr>
                <w:rFonts w:ascii="Arial" w:hAnsi="Arial" w:cs="Arial"/>
                <w:sz w:val="28"/>
                <w:szCs w:val="28"/>
              </w:rPr>
            </w:pPr>
            <w:r w:rsidRPr="00395526">
              <w:rPr>
                <w:rFonts w:ascii="Arial" w:hAnsi="Arial" w:cs="Arial"/>
                <w:sz w:val="28"/>
                <w:szCs w:val="28"/>
              </w:rPr>
              <w:t>2023</w:t>
            </w:r>
          </w:p>
        </w:tc>
        <w:tc>
          <w:tcPr>
            <w:tcW w:w="1571" w:type="dxa"/>
            <w:shd w:val="clear" w:color="auto" w:fill="95B3D7" w:themeFill="accent1" w:themeFillTint="99"/>
          </w:tcPr>
          <w:p w14:paraId="43D34423" w14:textId="77777777" w:rsidR="001B5E9B" w:rsidRPr="00395526" w:rsidRDefault="001B5E9B" w:rsidP="00402A38">
            <w:pPr>
              <w:jc w:val="center"/>
              <w:rPr>
                <w:rFonts w:ascii="Arial" w:hAnsi="Arial" w:cs="Arial"/>
                <w:sz w:val="28"/>
                <w:szCs w:val="28"/>
              </w:rPr>
            </w:pPr>
            <w:r w:rsidRPr="00395526">
              <w:rPr>
                <w:rFonts w:ascii="Arial" w:hAnsi="Arial" w:cs="Arial"/>
                <w:sz w:val="28"/>
                <w:szCs w:val="28"/>
              </w:rPr>
              <w:t>20</w:t>
            </w:r>
            <w:r>
              <w:rPr>
                <w:rFonts w:ascii="Arial" w:hAnsi="Arial" w:cs="Arial"/>
                <w:sz w:val="28"/>
                <w:szCs w:val="28"/>
              </w:rPr>
              <w:t>21/</w:t>
            </w:r>
            <w:r w:rsidRPr="00395526">
              <w:rPr>
                <w:rFonts w:ascii="Arial" w:hAnsi="Arial" w:cs="Arial"/>
                <w:sz w:val="28"/>
                <w:szCs w:val="28"/>
              </w:rPr>
              <w:t>22 Headcount</w:t>
            </w:r>
          </w:p>
        </w:tc>
        <w:tc>
          <w:tcPr>
            <w:tcW w:w="897" w:type="dxa"/>
            <w:shd w:val="clear" w:color="auto" w:fill="95B3D7" w:themeFill="accent1" w:themeFillTint="99"/>
          </w:tcPr>
          <w:p w14:paraId="1AE9D33A" w14:textId="77777777" w:rsidR="001B5E9B" w:rsidRPr="00395526" w:rsidRDefault="001B5E9B" w:rsidP="00402A38">
            <w:pPr>
              <w:jc w:val="center"/>
              <w:rPr>
                <w:rFonts w:ascii="Arial" w:hAnsi="Arial" w:cs="Arial"/>
                <w:sz w:val="28"/>
                <w:szCs w:val="28"/>
              </w:rPr>
            </w:pPr>
            <w:r w:rsidRPr="00395526">
              <w:rPr>
                <w:rFonts w:ascii="Arial" w:hAnsi="Arial" w:cs="Arial"/>
                <w:sz w:val="28"/>
                <w:szCs w:val="28"/>
              </w:rPr>
              <w:t>2022 %</w:t>
            </w:r>
          </w:p>
        </w:tc>
        <w:tc>
          <w:tcPr>
            <w:tcW w:w="3842" w:type="dxa"/>
            <w:shd w:val="clear" w:color="auto" w:fill="95B3D7" w:themeFill="accent1" w:themeFillTint="99"/>
          </w:tcPr>
          <w:p w14:paraId="175909C0" w14:textId="77777777" w:rsidR="001B5E9B" w:rsidRPr="00395526" w:rsidRDefault="001B5E9B" w:rsidP="00402A38">
            <w:pPr>
              <w:jc w:val="center"/>
              <w:rPr>
                <w:rFonts w:ascii="Arial" w:hAnsi="Arial" w:cs="Arial"/>
                <w:sz w:val="28"/>
                <w:szCs w:val="28"/>
              </w:rPr>
            </w:pPr>
            <w:r w:rsidRPr="00395526">
              <w:rPr>
                <w:rFonts w:ascii="Arial" w:hAnsi="Arial" w:cs="Arial"/>
                <w:sz w:val="28"/>
                <w:szCs w:val="28"/>
              </w:rPr>
              <w:t>% Difference</w:t>
            </w:r>
          </w:p>
        </w:tc>
      </w:tr>
      <w:tr w:rsidR="001B5E9B" w:rsidRPr="00395526" w14:paraId="6DC27C31" w14:textId="77777777" w:rsidTr="001B5E9B">
        <w:trPr>
          <w:trHeight w:val="413"/>
        </w:trPr>
        <w:tc>
          <w:tcPr>
            <w:tcW w:w="2160" w:type="dxa"/>
          </w:tcPr>
          <w:p w14:paraId="0AE0C178" w14:textId="77777777" w:rsidR="00D42BF1" w:rsidRDefault="00D42BF1" w:rsidP="00402A38">
            <w:pPr>
              <w:rPr>
                <w:rFonts w:ascii="Arial" w:hAnsi="Arial" w:cs="Arial"/>
                <w:szCs w:val="24"/>
              </w:rPr>
            </w:pPr>
          </w:p>
          <w:p w14:paraId="6B1F0C6B" w14:textId="3B4616AD" w:rsidR="001B5E9B" w:rsidRPr="007E01FD" w:rsidRDefault="001B5E9B" w:rsidP="00402A38">
            <w:pPr>
              <w:rPr>
                <w:rFonts w:ascii="Arial" w:hAnsi="Arial" w:cs="Arial"/>
                <w:szCs w:val="24"/>
              </w:rPr>
            </w:pPr>
            <w:r w:rsidRPr="007E01FD">
              <w:rPr>
                <w:rFonts w:ascii="Arial" w:hAnsi="Arial" w:cs="Arial"/>
                <w:szCs w:val="24"/>
              </w:rPr>
              <w:t>Total Workforce</w:t>
            </w:r>
          </w:p>
        </w:tc>
        <w:tc>
          <w:tcPr>
            <w:tcW w:w="1571" w:type="dxa"/>
          </w:tcPr>
          <w:p w14:paraId="7B0121C2" w14:textId="77777777" w:rsidR="00D42BF1" w:rsidRDefault="00D42BF1" w:rsidP="00402A38">
            <w:pPr>
              <w:jc w:val="center"/>
              <w:rPr>
                <w:rFonts w:ascii="Arial" w:hAnsi="Arial" w:cs="Arial"/>
                <w:szCs w:val="24"/>
              </w:rPr>
            </w:pPr>
          </w:p>
          <w:p w14:paraId="212C5078" w14:textId="6B6ACB2B" w:rsidR="001B5E9B" w:rsidRPr="007E01FD" w:rsidRDefault="001B5E9B" w:rsidP="00402A38">
            <w:pPr>
              <w:jc w:val="center"/>
              <w:rPr>
                <w:rFonts w:ascii="Arial" w:hAnsi="Arial" w:cs="Arial"/>
                <w:szCs w:val="24"/>
              </w:rPr>
            </w:pPr>
            <w:r w:rsidRPr="007E01FD">
              <w:rPr>
                <w:rFonts w:ascii="Arial" w:hAnsi="Arial" w:cs="Arial"/>
                <w:szCs w:val="24"/>
              </w:rPr>
              <w:t>8097</w:t>
            </w:r>
          </w:p>
        </w:tc>
        <w:tc>
          <w:tcPr>
            <w:tcW w:w="897" w:type="dxa"/>
            <w:shd w:val="clear" w:color="auto" w:fill="95B3D7" w:themeFill="accent1" w:themeFillTint="99"/>
          </w:tcPr>
          <w:p w14:paraId="3C17DF24" w14:textId="77777777" w:rsidR="001B5E9B" w:rsidRPr="007E01FD" w:rsidRDefault="001B5E9B" w:rsidP="00402A38">
            <w:pPr>
              <w:jc w:val="center"/>
              <w:rPr>
                <w:rFonts w:ascii="Arial" w:hAnsi="Arial" w:cs="Arial"/>
                <w:szCs w:val="24"/>
              </w:rPr>
            </w:pPr>
          </w:p>
        </w:tc>
        <w:tc>
          <w:tcPr>
            <w:tcW w:w="1571" w:type="dxa"/>
          </w:tcPr>
          <w:p w14:paraId="41F94556" w14:textId="77777777" w:rsidR="00D42BF1" w:rsidRDefault="00D42BF1" w:rsidP="00402A38">
            <w:pPr>
              <w:jc w:val="center"/>
              <w:rPr>
                <w:rFonts w:ascii="Arial" w:hAnsi="Arial" w:cs="Arial"/>
                <w:szCs w:val="24"/>
              </w:rPr>
            </w:pPr>
          </w:p>
          <w:p w14:paraId="7AD82FDB" w14:textId="75791A77" w:rsidR="001B5E9B" w:rsidRPr="007E01FD" w:rsidRDefault="001B5E9B" w:rsidP="00402A38">
            <w:pPr>
              <w:jc w:val="center"/>
              <w:rPr>
                <w:rFonts w:ascii="Arial" w:hAnsi="Arial" w:cs="Arial"/>
                <w:szCs w:val="24"/>
              </w:rPr>
            </w:pPr>
            <w:r w:rsidRPr="007E01FD">
              <w:rPr>
                <w:rFonts w:ascii="Arial" w:hAnsi="Arial" w:cs="Arial"/>
                <w:szCs w:val="24"/>
              </w:rPr>
              <w:t>7740</w:t>
            </w:r>
          </w:p>
        </w:tc>
        <w:tc>
          <w:tcPr>
            <w:tcW w:w="897" w:type="dxa"/>
            <w:shd w:val="clear" w:color="auto" w:fill="95B3D7" w:themeFill="accent1" w:themeFillTint="99"/>
          </w:tcPr>
          <w:p w14:paraId="52B0E536" w14:textId="77777777" w:rsidR="001B5E9B" w:rsidRPr="007E01FD" w:rsidRDefault="001B5E9B" w:rsidP="00402A38">
            <w:pPr>
              <w:jc w:val="center"/>
              <w:rPr>
                <w:rFonts w:ascii="Arial" w:hAnsi="Arial" w:cs="Arial"/>
                <w:color w:val="8064A2" w:themeColor="accent4"/>
                <w:szCs w:val="24"/>
              </w:rPr>
            </w:pPr>
          </w:p>
        </w:tc>
        <w:tc>
          <w:tcPr>
            <w:tcW w:w="3842" w:type="dxa"/>
            <w:shd w:val="clear" w:color="auto" w:fill="auto"/>
          </w:tcPr>
          <w:p w14:paraId="67561DCF" w14:textId="77777777" w:rsidR="001B5E9B" w:rsidRPr="007E01FD" w:rsidRDefault="001B5E9B" w:rsidP="00402A38">
            <w:pPr>
              <w:jc w:val="center"/>
              <w:rPr>
                <w:rFonts w:ascii="Arial" w:hAnsi="Arial" w:cs="Arial"/>
                <w:color w:val="8064A2" w:themeColor="accent4"/>
                <w:szCs w:val="24"/>
              </w:rPr>
            </w:pPr>
          </w:p>
        </w:tc>
      </w:tr>
      <w:tr w:rsidR="00D42BF1" w:rsidRPr="00395526" w14:paraId="6AD3AE64" w14:textId="77777777" w:rsidTr="001B5E9B">
        <w:trPr>
          <w:trHeight w:val="413"/>
        </w:trPr>
        <w:tc>
          <w:tcPr>
            <w:tcW w:w="2160" w:type="dxa"/>
          </w:tcPr>
          <w:p w14:paraId="742ACA08" w14:textId="77777777" w:rsidR="00D42BF1" w:rsidRDefault="00D42BF1" w:rsidP="00D42BF1">
            <w:pPr>
              <w:rPr>
                <w:rFonts w:ascii="Arial" w:hAnsi="Arial" w:cs="Arial"/>
                <w:szCs w:val="24"/>
              </w:rPr>
            </w:pPr>
          </w:p>
          <w:p w14:paraId="0352BA55" w14:textId="54F272CB" w:rsidR="00D42BF1" w:rsidRDefault="00D42BF1" w:rsidP="00D42BF1">
            <w:pPr>
              <w:rPr>
                <w:rFonts w:ascii="Arial" w:hAnsi="Arial" w:cs="Arial"/>
                <w:szCs w:val="24"/>
              </w:rPr>
            </w:pPr>
            <w:r w:rsidRPr="007E01FD">
              <w:rPr>
                <w:rFonts w:ascii="Arial" w:hAnsi="Arial" w:cs="Arial"/>
                <w:szCs w:val="24"/>
              </w:rPr>
              <w:t>BME staff</w:t>
            </w:r>
          </w:p>
        </w:tc>
        <w:tc>
          <w:tcPr>
            <w:tcW w:w="1571" w:type="dxa"/>
          </w:tcPr>
          <w:p w14:paraId="1DEAD4CD" w14:textId="77777777" w:rsidR="00D42BF1" w:rsidRDefault="00D42BF1" w:rsidP="00D42BF1">
            <w:pPr>
              <w:jc w:val="center"/>
              <w:rPr>
                <w:rFonts w:ascii="Arial" w:hAnsi="Arial" w:cs="Arial"/>
                <w:szCs w:val="24"/>
              </w:rPr>
            </w:pPr>
          </w:p>
          <w:p w14:paraId="17C2FDA3" w14:textId="6635181C" w:rsidR="00D42BF1" w:rsidRPr="00B226A4" w:rsidRDefault="00D42BF1" w:rsidP="00D42BF1">
            <w:pPr>
              <w:jc w:val="center"/>
              <w:rPr>
                <w:rFonts w:ascii="Arial" w:hAnsi="Arial" w:cs="Arial"/>
                <w:szCs w:val="24"/>
              </w:rPr>
            </w:pPr>
            <w:r w:rsidRPr="00B226A4">
              <w:rPr>
                <w:rFonts w:ascii="Arial" w:hAnsi="Arial" w:cs="Arial"/>
                <w:szCs w:val="24"/>
              </w:rPr>
              <w:t>1466</w:t>
            </w:r>
          </w:p>
        </w:tc>
        <w:tc>
          <w:tcPr>
            <w:tcW w:w="897" w:type="dxa"/>
          </w:tcPr>
          <w:p w14:paraId="02788FE6" w14:textId="77777777" w:rsidR="00D42BF1" w:rsidRDefault="00D42BF1" w:rsidP="00D42BF1">
            <w:pPr>
              <w:jc w:val="center"/>
              <w:rPr>
                <w:rFonts w:ascii="Arial" w:hAnsi="Arial" w:cs="Arial"/>
                <w:szCs w:val="24"/>
              </w:rPr>
            </w:pPr>
          </w:p>
          <w:p w14:paraId="2E8916E2" w14:textId="21778D68" w:rsidR="00D42BF1" w:rsidRPr="00B226A4" w:rsidRDefault="00D42BF1" w:rsidP="00D42BF1">
            <w:pPr>
              <w:jc w:val="center"/>
              <w:rPr>
                <w:rFonts w:ascii="Arial" w:hAnsi="Arial" w:cs="Arial"/>
                <w:szCs w:val="24"/>
              </w:rPr>
            </w:pPr>
            <w:r w:rsidRPr="00B226A4">
              <w:rPr>
                <w:rFonts w:ascii="Arial" w:hAnsi="Arial" w:cs="Arial"/>
                <w:szCs w:val="24"/>
              </w:rPr>
              <w:t>18.1%</w:t>
            </w:r>
          </w:p>
        </w:tc>
        <w:tc>
          <w:tcPr>
            <w:tcW w:w="1571" w:type="dxa"/>
          </w:tcPr>
          <w:p w14:paraId="3B5E0877" w14:textId="77777777" w:rsidR="00D42BF1" w:rsidRDefault="00D42BF1" w:rsidP="00D42BF1">
            <w:pPr>
              <w:jc w:val="center"/>
              <w:rPr>
                <w:rFonts w:ascii="Arial" w:hAnsi="Arial" w:cs="Arial"/>
                <w:szCs w:val="24"/>
              </w:rPr>
            </w:pPr>
          </w:p>
          <w:p w14:paraId="5C3F9D36" w14:textId="3801E294" w:rsidR="00D42BF1" w:rsidRPr="00B226A4" w:rsidRDefault="00D42BF1" w:rsidP="00D42BF1">
            <w:pPr>
              <w:jc w:val="center"/>
              <w:rPr>
                <w:rFonts w:ascii="Arial" w:hAnsi="Arial" w:cs="Arial"/>
                <w:szCs w:val="24"/>
              </w:rPr>
            </w:pPr>
            <w:r w:rsidRPr="00B226A4">
              <w:rPr>
                <w:rFonts w:ascii="Arial" w:hAnsi="Arial" w:cs="Arial"/>
                <w:szCs w:val="24"/>
              </w:rPr>
              <w:t>1273</w:t>
            </w:r>
          </w:p>
        </w:tc>
        <w:tc>
          <w:tcPr>
            <w:tcW w:w="897" w:type="dxa"/>
          </w:tcPr>
          <w:p w14:paraId="01E7E326" w14:textId="77777777" w:rsidR="00D42BF1" w:rsidRDefault="00D42BF1" w:rsidP="00D42BF1">
            <w:pPr>
              <w:rPr>
                <w:rFonts w:ascii="Arial" w:hAnsi="Arial" w:cs="Arial"/>
                <w:szCs w:val="24"/>
              </w:rPr>
            </w:pPr>
          </w:p>
          <w:p w14:paraId="0F7F1AE7" w14:textId="00D4E1D2" w:rsidR="00D42BF1" w:rsidRPr="00B226A4" w:rsidRDefault="00D42BF1" w:rsidP="00D42BF1">
            <w:pPr>
              <w:rPr>
                <w:rFonts w:ascii="Arial" w:hAnsi="Arial" w:cs="Arial"/>
                <w:szCs w:val="24"/>
              </w:rPr>
            </w:pPr>
            <w:r>
              <w:rPr>
                <w:rFonts w:ascii="Arial" w:hAnsi="Arial" w:cs="Arial"/>
                <w:szCs w:val="24"/>
              </w:rPr>
              <w:t>16.5</w:t>
            </w:r>
          </w:p>
        </w:tc>
        <w:tc>
          <w:tcPr>
            <w:tcW w:w="3842" w:type="dxa"/>
          </w:tcPr>
          <w:p w14:paraId="1A37D42E" w14:textId="28959184" w:rsidR="00D42BF1" w:rsidRPr="00B226A4" w:rsidRDefault="00D42BF1" w:rsidP="00D42BF1">
            <w:pPr>
              <w:spacing w:line="360" w:lineRule="auto"/>
              <w:jc w:val="center"/>
              <w:rPr>
                <w:rFonts w:ascii="Arial" w:hAnsi="Arial" w:cs="Arial"/>
                <w:szCs w:val="24"/>
              </w:rPr>
            </w:pPr>
            <w:r w:rsidRPr="00B226A4">
              <w:rPr>
                <w:rFonts w:ascii="Arial" w:hAnsi="Arial" w:cs="Arial"/>
                <w:szCs w:val="24"/>
              </w:rPr>
              <w:t>1.6% Increase compared to the previous year’s data</w:t>
            </w:r>
          </w:p>
        </w:tc>
      </w:tr>
      <w:tr w:rsidR="00D42BF1" w:rsidRPr="00395526" w14:paraId="65CE0860" w14:textId="77777777" w:rsidTr="001B5E9B">
        <w:trPr>
          <w:trHeight w:val="412"/>
        </w:trPr>
        <w:tc>
          <w:tcPr>
            <w:tcW w:w="2160" w:type="dxa"/>
          </w:tcPr>
          <w:p w14:paraId="03A2654F" w14:textId="77777777" w:rsidR="00D42BF1" w:rsidRDefault="00D42BF1" w:rsidP="00D42BF1">
            <w:pPr>
              <w:rPr>
                <w:rFonts w:ascii="Arial" w:hAnsi="Arial" w:cs="Arial"/>
                <w:szCs w:val="24"/>
              </w:rPr>
            </w:pPr>
          </w:p>
          <w:p w14:paraId="15DF7665" w14:textId="410F50FA" w:rsidR="00D42BF1" w:rsidRPr="007E01FD" w:rsidRDefault="00D42BF1" w:rsidP="00D42BF1">
            <w:pPr>
              <w:rPr>
                <w:rFonts w:ascii="Arial" w:hAnsi="Arial" w:cs="Arial"/>
                <w:szCs w:val="24"/>
              </w:rPr>
            </w:pPr>
            <w:r w:rsidRPr="007E01FD">
              <w:rPr>
                <w:rFonts w:ascii="Arial" w:hAnsi="Arial" w:cs="Arial"/>
                <w:szCs w:val="24"/>
              </w:rPr>
              <w:t>White staff</w:t>
            </w:r>
          </w:p>
        </w:tc>
        <w:tc>
          <w:tcPr>
            <w:tcW w:w="1571" w:type="dxa"/>
          </w:tcPr>
          <w:p w14:paraId="38CDCBEC" w14:textId="77777777" w:rsidR="00D42BF1" w:rsidRPr="00B226A4" w:rsidRDefault="00D42BF1" w:rsidP="00D42BF1">
            <w:pPr>
              <w:jc w:val="center"/>
              <w:rPr>
                <w:rFonts w:ascii="Arial" w:hAnsi="Arial" w:cs="Arial"/>
                <w:szCs w:val="24"/>
              </w:rPr>
            </w:pPr>
          </w:p>
          <w:p w14:paraId="4A14DE4C" w14:textId="77777777" w:rsidR="00D42BF1" w:rsidRPr="00B226A4" w:rsidRDefault="00D42BF1" w:rsidP="00D42BF1">
            <w:pPr>
              <w:jc w:val="center"/>
              <w:rPr>
                <w:rFonts w:ascii="Arial" w:hAnsi="Arial" w:cs="Arial"/>
                <w:szCs w:val="24"/>
              </w:rPr>
            </w:pPr>
            <w:r w:rsidRPr="00B226A4">
              <w:rPr>
                <w:rFonts w:ascii="Arial" w:hAnsi="Arial" w:cs="Arial"/>
                <w:szCs w:val="24"/>
              </w:rPr>
              <w:t>5730</w:t>
            </w:r>
          </w:p>
        </w:tc>
        <w:tc>
          <w:tcPr>
            <w:tcW w:w="897" w:type="dxa"/>
          </w:tcPr>
          <w:p w14:paraId="1DA0E0FA" w14:textId="77777777" w:rsidR="00D42BF1" w:rsidRPr="00B226A4" w:rsidRDefault="00D42BF1" w:rsidP="00D42BF1">
            <w:pPr>
              <w:jc w:val="center"/>
              <w:rPr>
                <w:rFonts w:ascii="Arial" w:hAnsi="Arial" w:cs="Arial"/>
                <w:szCs w:val="24"/>
              </w:rPr>
            </w:pPr>
          </w:p>
          <w:p w14:paraId="3FE3A8B8" w14:textId="77777777" w:rsidR="00D42BF1" w:rsidRPr="00B226A4" w:rsidRDefault="00D42BF1" w:rsidP="00D42BF1">
            <w:pPr>
              <w:jc w:val="center"/>
              <w:rPr>
                <w:rFonts w:ascii="Arial" w:hAnsi="Arial" w:cs="Arial"/>
                <w:szCs w:val="24"/>
              </w:rPr>
            </w:pPr>
            <w:bookmarkStart w:id="1" w:name="_Hlk137624840"/>
            <w:r w:rsidRPr="00B226A4">
              <w:rPr>
                <w:rFonts w:ascii="Arial" w:hAnsi="Arial" w:cs="Arial"/>
                <w:szCs w:val="24"/>
              </w:rPr>
              <w:t>70.8%</w:t>
            </w:r>
            <w:bookmarkEnd w:id="1"/>
          </w:p>
        </w:tc>
        <w:tc>
          <w:tcPr>
            <w:tcW w:w="1571" w:type="dxa"/>
          </w:tcPr>
          <w:p w14:paraId="1BCC62C7" w14:textId="77777777" w:rsidR="00D42BF1" w:rsidRPr="00B226A4" w:rsidRDefault="00D42BF1" w:rsidP="00D42BF1">
            <w:pPr>
              <w:jc w:val="center"/>
              <w:rPr>
                <w:rFonts w:ascii="Arial" w:hAnsi="Arial" w:cs="Arial"/>
                <w:szCs w:val="24"/>
              </w:rPr>
            </w:pPr>
          </w:p>
          <w:p w14:paraId="0AF62E29" w14:textId="77777777" w:rsidR="00D42BF1" w:rsidRPr="00B226A4" w:rsidRDefault="00D42BF1" w:rsidP="00D42BF1">
            <w:pPr>
              <w:jc w:val="center"/>
              <w:rPr>
                <w:rFonts w:ascii="Arial" w:hAnsi="Arial" w:cs="Arial"/>
                <w:szCs w:val="24"/>
              </w:rPr>
            </w:pPr>
            <w:r w:rsidRPr="00B226A4">
              <w:rPr>
                <w:rFonts w:ascii="Arial" w:hAnsi="Arial" w:cs="Arial"/>
                <w:szCs w:val="24"/>
              </w:rPr>
              <w:t>5870</w:t>
            </w:r>
          </w:p>
        </w:tc>
        <w:tc>
          <w:tcPr>
            <w:tcW w:w="897" w:type="dxa"/>
          </w:tcPr>
          <w:p w14:paraId="21558169" w14:textId="77777777" w:rsidR="00D42BF1" w:rsidRPr="00B226A4" w:rsidRDefault="00D42BF1" w:rsidP="00D42BF1">
            <w:pPr>
              <w:jc w:val="center"/>
              <w:rPr>
                <w:rFonts w:ascii="Arial" w:hAnsi="Arial" w:cs="Arial"/>
                <w:szCs w:val="24"/>
              </w:rPr>
            </w:pPr>
          </w:p>
          <w:p w14:paraId="68525A8E" w14:textId="77777777" w:rsidR="00D42BF1" w:rsidRPr="00B226A4" w:rsidRDefault="00D42BF1" w:rsidP="00D42BF1">
            <w:pPr>
              <w:jc w:val="center"/>
              <w:rPr>
                <w:rFonts w:ascii="Arial" w:hAnsi="Arial" w:cs="Arial"/>
                <w:szCs w:val="24"/>
              </w:rPr>
            </w:pPr>
            <w:r w:rsidRPr="00B226A4">
              <w:rPr>
                <w:rFonts w:ascii="Arial" w:hAnsi="Arial" w:cs="Arial"/>
                <w:szCs w:val="24"/>
              </w:rPr>
              <w:t>75.8%</w:t>
            </w:r>
          </w:p>
        </w:tc>
        <w:tc>
          <w:tcPr>
            <w:tcW w:w="3842" w:type="dxa"/>
          </w:tcPr>
          <w:p w14:paraId="3A68E961" w14:textId="77777777" w:rsidR="00D42BF1" w:rsidRPr="00B226A4" w:rsidRDefault="00D42BF1" w:rsidP="00D42BF1">
            <w:pPr>
              <w:jc w:val="center"/>
              <w:rPr>
                <w:rFonts w:ascii="Arial" w:hAnsi="Arial" w:cs="Arial"/>
                <w:szCs w:val="24"/>
              </w:rPr>
            </w:pPr>
            <w:r w:rsidRPr="00B226A4">
              <w:rPr>
                <w:rFonts w:ascii="Arial" w:hAnsi="Arial" w:cs="Arial"/>
                <w:szCs w:val="24"/>
              </w:rPr>
              <w:t>5% Lower than the previous year’s data</w:t>
            </w:r>
          </w:p>
        </w:tc>
      </w:tr>
      <w:tr w:rsidR="00D42BF1" w:rsidRPr="00395526" w14:paraId="24D01F8A" w14:textId="77777777" w:rsidTr="001B5E9B">
        <w:trPr>
          <w:trHeight w:val="435"/>
        </w:trPr>
        <w:tc>
          <w:tcPr>
            <w:tcW w:w="2160" w:type="dxa"/>
          </w:tcPr>
          <w:p w14:paraId="31D3DBCA" w14:textId="77777777" w:rsidR="00D42BF1" w:rsidRDefault="00D42BF1" w:rsidP="00D42BF1">
            <w:pPr>
              <w:rPr>
                <w:rFonts w:ascii="Arial" w:hAnsi="Arial" w:cs="Arial"/>
                <w:szCs w:val="24"/>
              </w:rPr>
            </w:pPr>
          </w:p>
          <w:p w14:paraId="2C24386C" w14:textId="08153D0D" w:rsidR="00D42BF1" w:rsidRPr="007E01FD" w:rsidRDefault="00D42BF1" w:rsidP="00D42BF1">
            <w:pPr>
              <w:rPr>
                <w:rFonts w:ascii="Arial" w:hAnsi="Arial" w:cs="Arial"/>
                <w:szCs w:val="24"/>
              </w:rPr>
            </w:pPr>
            <w:r w:rsidRPr="007E01FD">
              <w:rPr>
                <w:rFonts w:ascii="Arial" w:hAnsi="Arial" w:cs="Arial"/>
                <w:szCs w:val="24"/>
              </w:rPr>
              <w:t>Ethnicity Unknown</w:t>
            </w:r>
          </w:p>
        </w:tc>
        <w:tc>
          <w:tcPr>
            <w:tcW w:w="1571" w:type="dxa"/>
          </w:tcPr>
          <w:p w14:paraId="04955025" w14:textId="77777777" w:rsidR="00D42BF1" w:rsidRPr="00B226A4" w:rsidRDefault="00D42BF1" w:rsidP="00D42BF1">
            <w:pPr>
              <w:jc w:val="center"/>
              <w:rPr>
                <w:rFonts w:ascii="Arial" w:hAnsi="Arial" w:cs="Arial"/>
                <w:szCs w:val="24"/>
              </w:rPr>
            </w:pPr>
          </w:p>
          <w:p w14:paraId="6F3044CD" w14:textId="77777777" w:rsidR="00D42BF1" w:rsidRPr="00B226A4" w:rsidRDefault="00D42BF1" w:rsidP="00D42BF1">
            <w:pPr>
              <w:jc w:val="center"/>
              <w:rPr>
                <w:rFonts w:ascii="Arial" w:hAnsi="Arial" w:cs="Arial"/>
                <w:szCs w:val="24"/>
              </w:rPr>
            </w:pPr>
            <w:r w:rsidRPr="00B226A4">
              <w:rPr>
                <w:rFonts w:ascii="Arial" w:hAnsi="Arial" w:cs="Arial"/>
                <w:szCs w:val="24"/>
              </w:rPr>
              <w:t>901</w:t>
            </w:r>
          </w:p>
        </w:tc>
        <w:tc>
          <w:tcPr>
            <w:tcW w:w="897" w:type="dxa"/>
          </w:tcPr>
          <w:p w14:paraId="29CC5081" w14:textId="77777777" w:rsidR="00D42BF1" w:rsidRPr="00B226A4" w:rsidRDefault="00D42BF1" w:rsidP="00D42BF1">
            <w:pPr>
              <w:jc w:val="center"/>
              <w:rPr>
                <w:rFonts w:ascii="Arial" w:hAnsi="Arial" w:cs="Arial"/>
                <w:szCs w:val="24"/>
              </w:rPr>
            </w:pPr>
          </w:p>
          <w:p w14:paraId="1E392B39" w14:textId="77777777" w:rsidR="00D42BF1" w:rsidRPr="00B226A4" w:rsidRDefault="00D42BF1" w:rsidP="00D42BF1">
            <w:pPr>
              <w:jc w:val="center"/>
              <w:rPr>
                <w:rFonts w:ascii="Arial" w:hAnsi="Arial" w:cs="Arial"/>
                <w:szCs w:val="24"/>
              </w:rPr>
            </w:pPr>
            <w:r w:rsidRPr="00B226A4">
              <w:rPr>
                <w:rFonts w:ascii="Arial" w:hAnsi="Arial" w:cs="Arial"/>
                <w:szCs w:val="24"/>
              </w:rPr>
              <w:t>11.1%</w:t>
            </w:r>
          </w:p>
        </w:tc>
        <w:tc>
          <w:tcPr>
            <w:tcW w:w="1571" w:type="dxa"/>
          </w:tcPr>
          <w:p w14:paraId="123BF2B1" w14:textId="77777777" w:rsidR="00D42BF1" w:rsidRPr="00B226A4" w:rsidRDefault="00D42BF1" w:rsidP="00D42BF1">
            <w:pPr>
              <w:jc w:val="center"/>
              <w:rPr>
                <w:rFonts w:ascii="Arial" w:hAnsi="Arial" w:cs="Arial"/>
                <w:szCs w:val="24"/>
              </w:rPr>
            </w:pPr>
          </w:p>
          <w:p w14:paraId="20DA20A2" w14:textId="77777777" w:rsidR="00D42BF1" w:rsidRPr="00B226A4" w:rsidRDefault="00D42BF1" w:rsidP="00D42BF1">
            <w:pPr>
              <w:jc w:val="center"/>
              <w:rPr>
                <w:rFonts w:ascii="Arial" w:hAnsi="Arial" w:cs="Arial"/>
                <w:szCs w:val="24"/>
              </w:rPr>
            </w:pPr>
            <w:r w:rsidRPr="00B226A4">
              <w:rPr>
                <w:rFonts w:ascii="Arial" w:hAnsi="Arial" w:cs="Arial"/>
                <w:szCs w:val="24"/>
              </w:rPr>
              <w:t>597</w:t>
            </w:r>
          </w:p>
        </w:tc>
        <w:tc>
          <w:tcPr>
            <w:tcW w:w="897" w:type="dxa"/>
          </w:tcPr>
          <w:p w14:paraId="6B22A065" w14:textId="77777777" w:rsidR="00D42BF1" w:rsidRPr="00B226A4" w:rsidRDefault="00D42BF1" w:rsidP="00D42BF1">
            <w:pPr>
              <w:jc w:val="center"/>
              <w:rPr>
                <w:rFonts w:ascii="Arial" w:hAnsi="Arial" w:cs="Arial"/>
                <w:szCs w:val="24"/>
              </w:rPr>
            </w:pPr>
          </w:p>
          <w:p w14:paraId="2A702FB7" w14:textId="77777777" w:rsidR="00D42BF1" w:rsidRPr="00B226A4" w:rsidRDefault="00D42BF1" w:rsidP="00D42BF1">
            <w:pPr>
              <w:jc w:val="center"/>
              <w:rPr>
                <w:rFonts w:ascii="Arial" w:hAnsi="Arial" w:cs="Arial"/>
                <w:szCs w:val="24"/>
              </w:rPr>
            </w:pPr>
            <w:r w:rsidRPr="00B226A4">
              <w:rPr>
                <w:rFonts w:ascii="Arial" w:hAnsi="Arial" w:cs="Arial"/>
                <w:szCs w:val="24"/>
              </w:rPr>
              <w:t>7.7%</w:t>
            </w:r>
          </w:p>
        </w:tc>
        <w:tc>
          <w:tcPr>
            <w:tcW w:w="3842" w:type="dxa"/>
          </w:tcPr>
          <w:p w14:paraId="495D608C" w14:textId="77777777" w:rsidR="00D42BF1" w:rsidRDefault="00D42BF1" w:rsidP="00D42BF1">
            <w:pPr>
              <w:jc w:val="center"/>
              <w:rPr>
                <w:rFonts w:ascii="Arial" w:hAnsi="Arial" w:cs="Arial"/>
                <w:szCs w:val="24"/>
              </w:rPr>
            </w:pPr>
          </w:p>
          <w:p w14:paraId="2CE33E0C" w14:textId="27A39379" w:rsidR="00D42BF1" w:rsidRPr="00B226A4" w:rsidRDefault="00D42BF1" w:rsidP="00D42BF1">
            <w:pPr>
              <w:jc w:val="center"/>
              <w:rPr>
                <w:rFonts w:ascii="Arial" w:hAnsi="Arial" w:cs="Arial"/>
                <w:szCs w:val="24"/>
              </w:rPr>
            </w:pPr>
            <w:r w:rsidRPr="00B226A4">
              <w:rPr>
                <w:rFonts w:ascii="Arial" w:hAnsi="Arial" w:cs="Arial"/>
                <w:szCs w:val="24"/>
              </w:rPr>
              <w:t>Increase of 3.4% have unknown ethnicities on our ESR system</w:t>
            </w:r>
          </w:p>
        </w:tc>
      </w:tr>
      <w:bookmarkEnd w:id="0"/>
    </w:tbl>
    <w:p w14:paraId="194C951C" w14:textId="06469651" w:rsidR="001B5E9B" w:rsidRDefault="001B5E9B" w:rsidP="001B5E9B">
      <w:pPr>
        <w:jc w:val="both"/>
        <w:rPr>
          <w:rFonts w:ascii="Arial" w:hAnsi="Arial"/>
          <w:b/>
          <w:sz w:val="28"/>
        </w:rPr>
      </w:pPr>
    </w:p>
    <w:p w14:paraId="5D01476A" w14:textId="77777777" w:rsidR="005952E7" w:rsidRDefault="005952E7" w:rsidP="001B5E9B">
      <w:pPr>
        <w:jc w:val="both"/>
        <w:rPr>
          <w:rFonts w:ascii="Arial" w:hAnsi="Arial"/>
          <w:b/>
          <w:sz w:val="28"/>
        </w:rPr>
      </w:pPr>
    </w:p>
    <w:p w14:paraId="63256323" w14:textId="7D394658" w:rsidR="001B5E9B" w:rsidRPr="002B0D32" w:rsidRDefault="001B5E9B" w:rsidP="001B5E9B">
      <w:pPr>
        <w:jc w:val="both"/>
        <w:rPr>
          <w:rFonts w:ascii="Arial" w:hAnsi="Arial"/>
          <w:b/>
          <w:sz w:val="28"/>
        </w:rPr>
      </w:pPr>
      <w:r w:rsidRPr="002B0D32">
        <w:rPr>
          <w:rFonts w:ascii="Arial" w:hAnsi="Arial"/>
          <w:b/>
          <w:sz w:val="28"/>
        </w:rPr>
        <w:t>Aims</w:t>
      </w:r>
    </w:p>
    <w:p w14:paraId="2C59121A" w14:textId="77777777" w:rsidR="001B5E9B" w:rsidRDefault="001B5E9B" w:rsidP="001B5E9B">
      <w:pPr>
        <w:jc w:val="both"/>
        <w:rPr>
          <w:rFonts w:ascii="Arial" w:hAnsi="Arial" w:cs="Arial"/>
        </w:rPr>
      </w:pPr>
    </w:p>
    <w:p w14:paraId="701847DC" w14:textId="77777777" w:rsidR="001B5E9B" w:rsidRPr="002B0D32" w:rsidRDefault="001B5E9B" w:rsidP="00943E11">
      <w:pPr>
        <w:pStyle w:val="ListParagraph"/>
        <w:ind w:left="360"/>
        <w:rPr>
          <w:rFonts w:ascii="Arial" w:hAnsi="Arial" w:cs="Arial"/>
        </w:rPr>
      </w:pPr>
      <w:r w:rsidRPr="002B0D32">
        <w:rPr>
          <w:rFonts w:ascii="Arial" w:hAnsi="Arial" w:cs="Arial"/>
        </w:rPr>
        <w:t>The aims of this report are to:</w:t>
      </w:r>
    </w:p>
    <w:p w14:paraId="6E89A9A5" w14:textId="77777777" w:rsidR="001B5E9B" w:rsidRPr="00293756" w:rsidRDefault="001B5E9B" w:rsidP="00C72AE2">
      <w:pPr>
        <w:rPr>
          <w:rFonts w:ascii="Arial" w:hAnsi="Arial" w:cs="Arial"/>
        </w:rPr>
      </w:pPr>
    </w:p>
    <w:p w14:paraId="146B9E1F" w14:textId="185B6F17" w:rsidR="001B5E9B" w:rsidRDefault="001B5E9B" w:rsidP="00C72AE2">
      <w:pPr>
        <w:pStyle w:val="ListParagraph"/>
        <w:numPr>
          <w:ilvl w:val="1"/>
          <w:numId w:val="2"/>
        </w:numPr>
        <w:ind w:left="1080"/>
        <w:rPr>
          <w:rFonts w:ascii="Arial" w:hAnsi="Arial" w:cs="Arial"/>
        </w:rPr>
      </w:pPr>
      <w:r w:rsidRPr="002B0D32">
        <w:rPr>
          <w:rFonts w:ascii="Arial" w:hAnsi="Arial" w:cs="Arial"/>
        </w:rPr>
        <w:t xml:space="preserve">Compare the workplace and career experiences of the Trusts </w:t>
      </w:r>
      <w:r>
        <w:rPr>
          <w:rFonts w:ascii="Arial" w:hAnsi="Arial" w:cs="Arial"/>
        </w:rPr>
        <w:t>EM</w:t>
      </w:r>
      <w:r w:rsidRPr="002B0D32">
        <w:rPr>
          <w:rFonts w:ascii="Arial" w:hAnsi="Arial" w:cs="Arial"/>
        </w:rPr>
        <w:t xml:space="preserve"> and white staff, using data drawn from WRES reporting in 202</w:t>
      </w:r>
      <w:r>
        <w:rPr>
          <w:rFonts w:ascii="Arial" w:hAnsi="Arial" w:cs="Arial"/>
        </w:rPr>
        <w:t>3</w:t>
      </w:r>
      <w:r w:rsidR="001707E1">
        <w:rPr>
          <w:rFonts w:ascii="Arial" w:hAnsi="Arial" w:cs="Arial"/>
        </w:rPr>
        <w:t>.</w:t>
      </w:r>
    </w:p>
    <w:p w14:paraId="65E59AA4" w14:textId="77777777" w:rsidR="001B5E9B" w:rsidRPr="001B5E9B" w:rsidRDefault="001B5E9B" w:rsidP="00C72AE2">
      <w:pPr>
        <w:pStyle w:val="ListParagraph"/>
        <w:ind w:left="1080"/>
        <w:rPr>
          <w:rFonts w:ascii="Arial" w:hAnsi="Arial" w:cs="Arial"/>
        </w:rPr>
      </w:pPr>
    </w:p>
    <w:p w14:paraId="7F9DD00B" w14:textId="77777777" w:rsidR="001B5E9B" w:rsidRDefault="001B5E9B" w:rsidP="00C72AE2">
      <w:pPr>
        <w:pStyle w:val="ListParagraph"/>
        <w:numPr>
          <w:ilvl w:val="1"/>
          <w:numId w:val="2"/>
        </w:numPr>
        <w:ind w:left="1080"/>
        <w:rPr>
          <w:rFonts w:ascii="Arial" w:hAnsi="Arial" w:cs="Arial"/>
        </w:rPr>
      </w:pPr>
      <w:r w:rsidRPr="002B0D32">
        <w:rPr>
          <w:rFonts w:ascii="Arial" w:hAnsi="Arial" w:cs="Arial"/>
        </w:rPr>
        <w:t>Present high-level findings and analysis of the WRES metrics data.</w:t>
      </w:r>
    </w:p>
    <w:p w14:paraId="64432C75" w14:textId="77777777" w:rsidR="001B5E9B" w:rsidRPr="002B0D32" w:rsidRDefault="001B5E9B" w:rsidP="00C72AE2">
      <w:pPr>
        <w:pStyle w:val="ListParagraph"/>
        <w:ind w:left="1080"/>
        <w:rPr>
          <w:rFonts w:ascii="Arial" w:hAnsi="Arial" w:cs="Arial"/>
        </w:rPr>
      </w:pPr>
    </w:p>
    <w:p w14:paraId="000D6517" w14:textId="77777777" w:rsidR="001B5E9B" w:rsidRDefault="001B5E9B" w:rsidP="00C72AE2">
      <w:pPr>
        <w:pStyle w:val="ListParagraph"/>
        <w:numPr>
          <w:ilvl w:val="1"/>
          <w:numId w:val="2"/>
        </w:numPr>
        <w:ind w:left="1080"/>
        <w:rPr>
          <w:rFonts w:ascii="Arial" w:hAnsi="Arial" w:cs="Arial"/>
        </w:rPr>
      </w:pPr>
      <w:r w:rsidRPr="002B0D32">
        <w:rPr>
          <w:rFonts w:ascii="Arial" w:hAnsi="Arial" w:cs="Arial"/>
        </w:rPr>
        <w:t xml:space="preserve">Highlight trends in NHS staff survey data published, covering the periods of </w:t>
      </w:r>
      <w:r>
        <w:rPr>
          <w:rFonts w:ascii="Arial" w:hAnsi="Arial" w:cs="Arial"/>
        </w:rPr>
        <w:t>2022</w:t>
      </w:r>
      <w:r w:rsidRPr="002B0D32">
        <w:rPr>
          <w:rFonts w:ascii="Arial" w:hAnsi="Arial" w:cs="Arial"/>
        </w:rPr>
        <w:t>.</w:t>
      </w:r>
    </w:p>
    <w:p w14:paraId="1CEBDC01" w14:textId="77777777" w:rsidR="001B5E9B" w:rsidRPr="002B0D32" w:rsidRDefault="001B5E9B" w:rsidP="00C72AE2">
      <w:pPr>
        <w:pStyle w:val="ListParagraph"/>
        <w:ind w:left="1080"/>
        <w:rPr>
          <w:rFonts w:ascii="Arial" w:hAnsi="Arial" w:cs="Arial"/>
        </w:rPr>
      </w:pPr>
    </w:p>
    <w:p w14:paraId="1F63D222" w14:textId="77777777" w:rsidR="001B5E9B" w:rsidRDefault="001B5E9B" w:rsidP="00C72AE2">
      <w:pPr>
        <w:pStyle w:val="ListParagraph"/>
        <w:numPr>
          <w:ilvl w:val="1"/>
          <w:numId w:val="2"/>
        </w:numPr>
        <w:ind w:left="1080"/>
        <w:rPr>
          <w:rFonts w:ascii="Arial" w:hAnsi="Arial" w:cs="Arial"/>
        </w:rPr>
      </w:pPr>
      <w:r w:rsidRPr="002B0D32">
        <w:rPr>
          <w:rFonts w:ascii="Arial" w:hAnsi="Arial" w:cs="Arial"/>
        </w:rPr>
        <w:t xml:space="preserve">Suggest actions that will improve the experiences of </w:t>
      </w:r>
      <w:r>
        <w:rPr>
          <w:rFonts w:ascii="Arial" w:hAnsi="Arial" w:cs="Arial"/>
        </w:rPr>
        <w:t>Ethnic Minority</w:t>
      </w:r>
      <w:r w:rsidRPr="002B0D32">
        <w:rPr>
          <w:rFonts w:ascii="Arial" w:hAnsi="Arial" w:cs="Arial"/>
        </w:rPr>
        <w:t xml:space="preserve"> staff against each metric.</w:t>
      </w:r>
    </w:p>
    <w:p w14:paraId="53811334" w14:textId="77777777" w:rsidR="001B5E9B" w:rsidRPr="002B0D32" w:rsidRDefault="001B5E9B" w:rsidP="00C72AE2">
      <w:pPr>
        <w:pStyle w:val="ListParagraph"/>
        <w:ind w:left="1080"/>
        <w:rPr>
          <w:rFonts w:ascii="Arial" w:hAnsi="Arial" w:cs="Arial"/>
        </w:rPr>
      </w:pPr>
    </w:p>
    <w:p w14:paraId="19CA9C37" w14:textId="77777777" w:rsidR="001B5E9B" w:rsidRPr="002B0D32" w:rsidRDefault="001B5E9B" w:rsidP="00C72AE2">
      <w:pPr>
        <w:pStyle w:val="ListParagraph"/>
        <w:numPr>
          <w:ilvl w:val="1"/>
          <w:numId w:val="2"/>
        </w:numPr>
        <w:ind w:left="1080"/>
        <w:rPr>
          <w:rFonts w:ascii="Arial" w:hAnsi="Arial" w:cs="Arial"/>
        </w:rPr>
      </w:pPr>
      <w:r>
        <w:rPr>
          <w:rFonts w:ascii="Arial" w:hAnsi="Arial" w:cs="Arial"/>
        </w:rPr>
        <w:t>Raise</w:t>
      </w:r>
      <w:r w:rsidRPr="002B0D32">
        <w:rPr>
          <w:rFonts w:ascii="Arial" w:hAnsi="Arial" w:cs="Arial"/>
        </w:rPr>
        <w:t xml:space="preserve"> awareness of race equality within the Trusts workforce and outline some of the challenges that </w:t>
      </w:r>
      <w:r>
        <w:rPr>
          <w:rFonts w:ascii="Arial" w:hAnsi="Arial" w:cs="Arial"/>
        </w:rPr>
        <w:t>EM</w:t>
      </w:r>
      <w:r w:rsidRPr="002B0D32">
        <w:rPr>
          <w:rFonts w:ascii="Arial" w:hAnsi="Arial" w:cs="Arial"/>
        </w:rPr>
        <w:t xml:space="preserve"> staff collectively experience at work.</w:t>
      </w:r>
    </w:p>
    <w:p w14:paraId="0E764CCC" w14:textId="77777777" w:rsidR="009334B6" w:rsidRDefault="009334B6" w:rsidP="005952E7">
      <w:pPr>
        <w:rPr>
          <w:rFonts w:ascii="Arial" w:hAnsi="Arial"/>
          <w:b/>
          <w:sz w:val="28"/>
        </w:rPr>
      </w:pPr>
    </w:p>
    <w:p w14:paraId="4BD4C0A1" w14:textId="0A3A6596" w:rsidR="009334B6" w:rsidRDefault="009334B6" w:rsidP="005952E7">
      <w:pPr>
        <w:rPr>
          <w:rFonts w:ascii="Arial" w:hAnsi="Arial"/>
          <w:b/>
          <w:sz w:val="28"/>
        </w:rPr>
      </w:pPr>
    </w:p>
    <w:p w14:paraId="7D57D8AC" w14:textId="77777777" w:rsidR="00847025" w:rsidRDefault="00847025" w:rsidP="005952E7">
      <w:pPr>
        <w:rPr>
          <w:rFonts w:ascii="Arial" w:hAnsi="Arial"/>
          <w:b/>
          <w:sz w:val="28"/>
        </w:rPr>
      </w:pPr>
    </w:p>
    <w:p w14:paraId="75841C5C" w14:textId="6B6CE687" w:rsidR="001B5E9B" w:rsidRDefault="001B5E9B" w:rsidP="005952E7">
      <w:pPr>
        <w:rPr>
          <w:rFonts w:ascii="Arial" w:hAnsi="Arial"/>
          <w:b/>
          <w:sz w:val="28"/>
        </w:rPr>
      </w:pPr>
      <w:r>
        <w:rPr>
          <w:rFonts w:ascii="Arial" w:hAnsi="Arial"/>
          <w:b/>
          <w:sz w:val="28"/>
        </w:rPr>
        <w:lastRenderedPageBreak/>
        <w:t>WRES Metrics</w:t>
      </w:r>
    </w:p>
    <w:p w14:paraId="15479F7E" w14:textId="77777777" w:rsidR="001B5E9B" w:rsidRDefault="001B5E9B" w:rsidP="001B5E9B">
      <w:pPr>
        <w:rPr>
          <w:rFonts w:ascii="Arial" w:hAnsi="Arial"/>
          <w:b/>
          <w:sz w:val="28"/>
        </w:rPr>
      </w:pPr>
    </w:p>
    <w:tbl>
      <w:tblPr>
        <w:tblW w:w="10632" w:type="dxa"/>
        <w:tblInd w:w="-10" w:type="dxa"/>
        <w:tblCellMar>
          <w:left w:w="0" w:type="dxa"/>
          <w:right w:w="0" w:type="dxa"/>
        </w:tblCellMar>
        <w:tblLook w:val="0420" w:firstRow="1" w:lastRow="0" w:firstColumn="0" w:lastColumn="0" w:noHBand="0" w:noVBand="1"/>
      </w:tblPr>
      <w:tblGrid>
        <w:gridCol w:w="2552"/>
        <w:gridCol w:w="8080"/>
      </w:tblGrid>
      <w:tr w:rsidR="001B5E9B" w:rsidRPr="009A0465" w14:paraId="2E838FA5" w14:textId="77777777" w:rsidTr="009334B6">
        <w:trPr>
          <w:trHeight w:val="667"/>
        </w:trPr>
        <w:tc>
          <w:tcPr>
            <w:tcW w:w="25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F566C3D" w14:textId="77777777" w:rsidR="001B5E9B" w:rsidRPr="009A0465" w:rsidRDefault="001B5E9B" w:rsidP="00402A38">
            <w:pPr>
              <w:rPr>
                <w:rFonts w:ascii="Arial" w:eastAsia="Times New Roman" w:hAnsi="Arial" w:cs="Arial"/>
                <w:sz w:val="36"/>
                <w:szCs w:val="36"/>
              </w:rPr>
            </w:pPr>
            <w:bookmarkStart w:id="2" w:name="_Hlk138177033"/>
            <w:r w:rsidRPr="009A0465">
              <w:rPr>
                <w:rFonts w:ascii="Calibri" w:eastAsia="Times New Roman" w:hAnsi="Calibri" w:cs="Calibri"/>
                <w:b/>
                <w:bCs/>
                <w:color w:val="FFFFFF" w:themeColor="light1"/>
                <w:kern w:val="24"/>
                <w:sz w:val="32"/>
                <w:szCs w:val="32"/>
              </w:rPr>
              <w:t>WRES Metric</w:t>
            </w:r>
          </w:p>
        </w:tc>
        <w:tc>
          <w:tcPr>
            <w:tcW w:w="80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1832086" w14:textId="77777777" w:rsidR="001B5E9B" w:rsidRPr="009A0465" w:rsidRDefault="001B5E9B" w:rsidP="00402A38">
            <w:pPr>
              <w:rPr>
                <w:rFonts w:ascii="Arial" w:eastAsia="Times New Roman" w:hAnsi="Arial" w:cs="Arial"/>
                <w:sz w:val="36"/>
                <w:szCs w:val="36"/>
              </w:rPr>
            </w:pPr>
            <w:r w:rsidRPr="009A0465">
              <w:rPr>
                <w:rFonts w:ascii="Calibri" w:eastAsia="Times New Roman" w:hAnsi="Calibri" w:cs="Calibri"/>
                <w:b/>
                <w:bCs/>
                <w:color w:val="FFFFFF" w:themeColor="light1"/>
                <w:kern w:val="24"/>
                <w:sz w:val="32"/>
                <w:szCs w:val="32"/>
              </w:rPr>
              <w:t>White, BME &amp; Ethnicity unknown or Null</w:t>
            </w:r>
          </w:p>
        </w:tc>
      </w:tr>
      <w:tr w:rsidR="001B5E9B" w:rsidRPr="009A0465" w14:paraId="6B2E9F3D" w14:textId="77777777" w:rsidTr="009334B6">
        <w:trPr>
          <w:trHeight w:val="768"/>
        </w:trPr>
        <w:tc>
          <w:tcPr>
            <w:tcW w:w="25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2A740D" w14:textId="77777777" w:rsidR="001B5E9B" w:rsidRPr="006B1CC8" w:rsidRDefault="001B5E9B" w:rsidP="00402A38">
            <w:pPr>
              <w:rPr>
                <w:rFonts w:ascii="Arial" w:eastAsia="Times New Roman" w:hAnsi="Arial" w:cs="Arial"/>
                <w:szCs w:val="24"/>
              </w:rPr>
            </w:pPr>
            <w:r w:rsidRPr="006B1CC8">
              <w:rPr>
                <w:rFonts w:ascii="Arial" w:eastAsia="Times New Roman" w:hAnsi="Arial" w:cs="Arial"/>
                <w:color w:val="000000" w:themeColor="dark1"/>
                <w:kern w:val="24"/>
                <w:szCs w:val="24"/>
              </w:rPr>
              <w:t>1</w:t>
            </w:r>
          </w:p>
        </w:tc>
        <w:tc>
          <w:tcPr>
            <w:tcW w:w="80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B2D8A8"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 xml:space="preserve">Percentage of staff in each of the </w:t>
            </w:r>
            <w:proofErr w:type="spellStart"/>
            <w:r w:rsidRPr="00753D43">
              <w:rPr>
                <w:rFonts w:ascii="Arial" w:eastAsia="Times New Roman" w:hAnsi="Arial" w:cs="Arial"/>
                <w:color w:val="000000" w:themeColor="dark1"/>
                <w:kern w:val="24"/>
                <w:sz w:val="22"/>
                <w:szCs w:val="22"/>
              </w:rPr>
              <w:t>AfC</w:t>
            </w:r>
            <w:proofErr w:type="spellEnd"/>
            <w:r w:rsidRPr="00753D43">
              <w:rPr>
                <w:rFonts w:ascii="Arial" w:eastAsia="Times New Roman" w:hAnsi="Arial" w:cs="Arial"/>
                <w:color w:val="000000" w:themeColor="dark1"/>
                <w:kern w:val="24"/>
                <w:sz w:val="22"/>
                <w:szCs w:val="22"/>
              </w:rPr>
              <w:t xml:space="preserve"> Bands 1-9 OR Medical and Dental subgroups and VSM (including executive Board members) compared with the percentage of staff in the overall workforce</w:t>
            </w:r>
          </w:p>
        </w:tc>
      </w:tr>
      <w:tr w:rsidR="001B5E9B" w:rsidRPr="009A0465" w14:paraId="57CE055E" w14:textId="77777777" w:rsidTr="009334B6">
        <w:trPr>
          <w:trHeight w:val="539"/>
        </w:trPr>
        <w:tc>
          <w:tcPr>
            <w:tcW w:w="25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69FCAD0" w14:textId="77777777" w:rsidR="001B5E9B" w:rsidRPr="006B1CC8" w:rsidRDefault="001B5E9B" w:rsidP="00402A38">
            <w:pPr>
              <w:rPr>
                <w:rFonts w:ascii="Arial" w:eastAsia="Times New Roman" w:hAnsi="Arial" w:cs="Arial"/>
                <w:szCs w:val="24"/>
              </w:rPr>
            </w:pPr>
            <w:r w:rsidRPr="006B1CC8">
              <w:rPr>
                <w:rFonts w:ascii="Arial" w:eastAsia="Times New Roman" w:hAnsi="Arial" w:cs="Arial"/>
                <w:color w:val="000000" w:themeColor="dark1"/>
                <w:kern w:val="24"/>
                <w:szCs w:val="24"/>
              </w:rPr>
              <w:t>2</w:t>
            </w:r>
          </w:p>
        </w:tc>
        <w:tc>
          <w:tcPr>
            <w:tcW w:w="80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B347DE1"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staff being appointed from shortlisting across all posts</w:t>
            </w:r>
          </w:p>
        </w:tc>
      </w:tr>
      <w:tr w:rsidR="001B5E9B" w:rsidRPr="009A0465" w14:paraId="3A264795" w14:textId="77777777" w:rsidTr="009334B6">
        <w:trPr>
          <w:trHeight w:val="786"/>
        </w:trPr>
        <w:tc>
          <w:tcPr>
            <w:tcW w:w="25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B0BEE4" w14:textId="77777777" w:rsidR="001B5E9B" w:rsidRPr="006B1CC8" w:rsidRDefault="001B5E9B" w:rsidP="00402A38">
            <w:pPr>
              <w:rPr>
                <w:rFonts w:ascii="Arial" w:eastAsia="Times New Roman" w:hAnsi="Arial" w:cs="Arial"/>
                <w:szCs w:val="24"/>
              </w:rPr>
            </w:pPr>
            <w:bookmarkStart w:id="3" w:name="_Hlk138177457"/>
            <w:r w:rsidRPr="006B1CC8">
              <w:rPr>
                <w:rFonts w:ascii="Arial" w:eastAsia="Times New Roman" w:hAnsi="Arial" w:cs="Arial"/>
                <w:color w:val="000000" w:themeColor="dark1"/>
                <w:kern w:val="24"/>
                <w:szCs w:val="24"/>
              </w:rPr>
              <w:t>3</w:t>
            </w:r>
          </w:p>
        </w:tc>
        <w:tc>
          <w:tcPr>
            <w:tcW w:w="80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97FF34" w14:textId="77777777" w:rsidR="001B5E9B" w:rsidRPr="00753D43" w:rsidRDefault="001B5E9B" w:rsidP="005952E7">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staff entering the formal disciplinary process, as measured by entry into a formal disciplinary investigation</w:t>
            </w:r>
          </w:p>
        </w:tc>
      </w:tr>
      <w:bookmarkEnd w:id="3"/>
      <w:tr w:rsidR="001B5E9B" w:rsidRPr="009A0465" w14:paraId="3D7F19D9" w14:textId="77777777" w:rsidTr="009334B6">
        <w:trPr>
          <w:trHeight w:val="425"/>
        </w:trPr>
        <w:tc>
          <w:tcPr>
            <w:tcW w:w="25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994E2DD" w14:textId="77777777" w:rsidR="001B5E9B" w:rsidRPr="006B1CC8" w:rsidRDefault="001B5E9B" w:rsidP="00402A38">
            <w:pPr>
              <w:rPr>
                <w:rFonts w:ascii="Arial" w:eastAsia="Times New Roman" w:hAnsi="Arial" w:cs="Arial"/>
                <w:szCs w:val="24"/>
              </w:rPr>
            </w:pPr>
            <w:r w:rsidRPr="006B1CC8">
              <w:rPr>
                <w:rFonts w:ascii="Arial" w:eastAsia="Times New Roman" w:hAnsi="Arial" w:cs="Arial"/>
                <w:color w:val="000000" w:themeColor="dark1"/>
                <w:kern w:val="24"/>
                <w:szCs w:val="24"/>
              </w:rPr>
              <w:t>4</w:t>
            </w:r>
          </w:p>
        </w:tc>
        <w:tc>
          <w:tcPr>
            <w:tcW w:w="80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D019EC"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staff accessing non-mandatory training and CPD</w:t>
            </w:r>
          </w:p>
        </w:tc>
      </w:tr>
      <w:tr w:rsidR="001B5E9B" w:rsidRPr="009A0465" w14:paraId="45D57933" w14:textId="77777777" w:rsidTr="009334B6">
        <w:trPr>
          <w:trHeight w:val="688"/>
        </w:trPr>
        <w:tc>
          <w:tcPr>
            <w:tcW w:w="25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0F6CA1" w14:textId="77777777" w:rsidR="001B5E9B" w:rsidRPr="006B1CC8" w:rsidRDefault="001B5E9B" w:rsidP="00402A38">
            <w:pPr>
              <w:rPr>
                <w:rFonts w:ascii="Arial" w:eastAsia="Times New Roman" w:hAnsi="Arial" w:cs="Arial"/>
                <w:szCs w:val="24"/>
              </w:rPr>
            </w:pPr>
            <w:r w:rsidRPr="006B1CC8">
              <w:rPr>
                <w:rFonts w:ascii="Arial" w:eastAsia="Times New Roman" w:hAnsi="Arial" w:cs="Arial"/>
                <w:color w:val="000000" w:themeColor="dark1"/>
                <w:kern w:val="24"/>
                <w:szCs w:val="24"/>
              </w:rPr>
              <w:t>9</w:t>
            </w:r>
          </w:p>
        </w:tc>
        <w:tc>
          <w:tcPr>
            <w:tcW w:w="80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AC72B4F"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Percentage difference between the organisations’ Board voting membership and its overall workforce</w:t>
            </w:r>
          </w:p>
        </w:tc>
      </w:tr>
      <w:bookmarkEnd w:id="2"/>
    </w:tbl>
    <w:p w14:paraId="66CAEEA4" w14:textId="77777777" w:rsidR="001B5E9B" w:rsidRDefault="001B5E9B" w:rsidP="001B5E9B">
      <w:pPr>
        <w:rPr>
          <w:rFonts w:ascii="Arial" w:hAnsi="Arial"/>
          <w:b/>
          <w:sz w:val="28"/>
        </w:rPr>
      </w:pPr>
    </w:p>
    <w:p w14:paraId="0BC6733D" w14:textId="27EDBF26" w:rsidR="001B5E9B" w:rsidRDefault="001B5E9B" w:rsidP="001B5E9B">
      <w:pPr>
        <w:rPr>
          <w:rFonts w:ascii="Arial" w:hAnsi="Arial"/>
          <w:b/>
          <w:sz w:val="28"/>
        </w:rPr>
      </w:pPr>
      <w:r>
        <w:rPr>
          <w:rFonts w:ascii="Arial" w:hAnsi="Arial"/>
          <w:b/>
          <w:sz w:val="28"/>
        </w:rPr>
        <w:t xml:space="preserve">WRES Data </w:t>
      </w:r>
    </w:p>
    <w:p w14:paraId="3C8DBDB8" w14:textId="50FCBD58" w:rsidR="001B5E9B" w:rsidRDefault="001B5E9B" w:rsidP="001B5E9B">
      <w:pPr>
        <w:rPr>
          <w:rFonts w:ascii="Arial" w:hAnsi="Arial"/>
          <w:b/>
          <w:sz w:val="28"/>
        </w:rPr>
      </w:pPr>
      <w:r>
        <w:rPr>
          <w:rFonts w:ascii="Arial" w:hAnsi="Arial"/>
          <w:b/>
          <w:sz w:val="28"/>
        </w:rPr>
        <w:t>Non-Clinical Workforce</w:t>
      </w:r>
    </w:p>
    <w:p w14:paraId="0AF8B13D" w14:textId="77777777" w:rsidR="001B5E9B" w:rsidRDefault="001B5E9B" w:rsidP="001B5E9B">
      <w:pPr>
        <w:rPr>
          <w:rFonts w:ascii="Arial" w:hAnsi="Arial"/>
          <w:b/>
          <w:sz w:val="28"/>
        </w:rPr>
      </w:pPr>
    </w:p>
    <w:tbl>
      <w:tblPr>
        <w:tblW w:w="10665" w:type="dxa"/>
        <w:tblInd w:w="-10" w:type="dxa"/>
        <w:tblLayout w:type="fixed"/>
        <w:tblCellMar>
          <w:left w:w="0" w:type="dxa"/>
          <w:right w:w="0" w:type="dxa"/>
        </w:tblCellMar>
        <w:tblLook w:val="0420" w:firstRow="1" w:lastRow="0" w:firstColumn="0" w:lastColumn="0" w:noHBand="0" w:noVBand="1"/>
      </w:tblPr>
      <w:tblGrid>
        <w:gridCol w:w="2555"/>
        <w:gridCol w:w="1807"/>
        <w:gridCol w:w="1035"/>
        <w:gridCol w:w="225"/>
        <w:gridCol w:w="671"/>
        <w:gridCol w:w="590"/>
        <w:gridCol w:w="613"/>
        <w:gridCol w:w="647"/>
        <w:gridCol w:w="760"/>
        <w:gridCol w:w="501"/>
        <w:gridCol w:w="1261"/>
      </w:tblGrid>
      <w:tr w:rsidR="001B5E9B" w:rsidRPr="009A0465" w14:paraId="3304C0B8" w14:textId="77777777" w:rsidTr="009334B6">
        <w:trPr>
          <w:trHeight w:val="584"/>
        </w:trPr>
        <w:tc>
          <w:tcPr>
            <w:tcW w:w="255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8FA035" w14:textId="77777777" w:rsidR="001B5E9B" w:rsidRPr="009A0465" w:rsidRDefault="001B5E9B" w:rsidP="00402A38">
            <w:pPr>
              <w:rPr>
                <w:rFonts w:ascii="Arial" w:eastAsia="Times New Roman" w:hAnsi="Arial" w:cs="Arial"/>
                <w:sz w:val="36"/>
                <w:szCs w:val="36"/>
              </w:rPr>
            </w:pPr>
            <w:r w:rsidRPr="009A0465">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1</w:t>
            </w:r>
          </w:p>
        </w:tc>
        <w:tc>
          <w:tcPr>
            <w:tcW w:w="180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A01DCDB" w14:textId="77777777" w:rsidR="001B5E9B" w:rsidRPr="009A0465" w:rsidRDefault="001B5E9B" w:rsidP="00402A38">
            <w:pPr>
              <w:rPr>
                <w:rFonts w:ascii="Arial" w:eastAsia="Times New Roman" w:hAnsi="Arial" w:cs="Arial"/>
                <w:sz w:val="36"/>
                <w:szCs w:val="36"/>
              </w:rPr>
            </w:pPr>
            <w:r w:rsidRPr="009A0465">
              <w:rPr>
                <w:rFonts w:ascii="Calibri" w:eastAsia="Times New Roman" w:hAnsi="Calibri" w:cs="Calibri"/>
                <w:b/>
                <w:bCs/>
                <w:color w:val="FFFFFF" w:themeColor="light1"/>
                <w:kern w:val="24"/>
                <w:szCs w:val="24"/>
              </w:rPr>
              <w:t>Data Item</w:t>
            </w:r>
          </w:p>
        </w:tc>
        <w:tc>
          <w:tcPr>
            <w:tcW w:w="1260" w:type="dxa"/>
            <w:gridSpan w:val="2"/>
            <w:tcBorders>
              <w:top w:val="single" w:sz="8" w:space="0" w:color="FFFFFF"/>
              <w:left w:val="single" w:sz="8" w:space="0" w:color="FFFFFF"/>
              <w:bottom w:val="single" w:sz="24" w:space="0" w:color="FFFFFF"/>
              <w:right w:val="single" w:sz="8" w:space="0" w:color="FFFFFF"/>
            </w:tcBorders>
            <w:shd w:val="clear" w:color="auto" w:fill="4472C4"/>
          </w:tcPr>
          <w:p w14:paraId="4482A1F6" w14:textId="77777777" w:rsidR="001B5E9B" w:rsidRDefault="001B5E9B" w:rsidP="00402A38">
            <w:pP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White</w:t>
            </w:r>
          </w:p>
          <w:p w14:paraId="628C437D" w14:textId="77777777" w:rsidR="001B5E9B" w:rsidRPr="009A0465" w:rsidRDefault="001B5E9B" w:rsidP="00402A38">
            <w:pP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2022</w:t>
            </w:r>
          </w:p>
        </w:tc>
        <w:tc>
          <w:tcPr>
            <w:tcW w:w="1261" w:type="dxa"/>
            <w:gridSpan w:val="2"/>
            <w:tcBorders>
              <w:top w:val="single" w:sz="8" w:space="0" w:color="FFFFFF"/>
              <w:left w:val="single" w:sz="8" w:space="0" w:color="FFFFFF"/>
              <w:bottom w:val="single" w:sz="24" w:space="0" w:color="FFFFFF"/>
              <w:right w:val="single" w:sz="8" w:space="0" w:color="FFFFFF"/>
            </w:tcBorders>
            <w:shd w:val="clear" w:color="auto" w:fill="4472C4"/>
          </w:tcPr>
          <w:p w14:paraId="3A060C8B" w14:textId="77777777" w:rsidR="001B5E9B" w:rsidRDefault="001B5E9B" w:rsidP="00402A38">
            <w:pP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BME</w:t>
            </w:r>
          </w:p>
          <w:p w14:paraId="151C0D2F" w14:textId="77777777" w:rsidR="001B5E9B" w:rsidRPr="009A0465" w:rsidRDefault="001B5E9B" w:rsidP="00402A38">
            <w:pP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2022</w:t>
            </w:r>
          </w:p>
        </w:tc>
        <w:tc>
          <w:tcPr>
            <w:tcW w:w="1260"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03291FF" w14:textId="77777777" w:rsidR="001B5E9B" w:rsidRDefault="001B5E9B" w:rsidP="00402A38">
            <w:pPr>
              <w:rPr>
                <w:rFonts w:ascii="Calibri" w:eastAsia="Times New Roman" w:hAnsi="Calibri" w:cs="Calibri"/>
                <w:b/>
                <w:bCs/>
                <w:color w:val="FFFFFF" w:themeColor="light1"/>
                <w:kern w:val="24"/>
                <w:szCs w:val="24"/>
              </w:rPr>
            </w:pPr>
            <w:r w:rsidRPr="009A0465">
              <w:rPr>
                <w:rFonts w:ascii="Calibri" w:eastAsia="Times New Roman" w:hAnsi="Calibri" w:cs="Calibri"/>
                <w:b/>
                <w:bCs/>
                <w:color w:val="FFFFFF" w:themeColor="light1"/>
                <w:kern w:val="24"/>
                <w:szCs w:val="24"/>
              </w:rPr>
              <w:t>White</w:t>
            </w:r>
            <w:r>
              <w:rPr>
                <w:rFonts w:ascii="Calibri" w:eastAsia="Times New Roman" w:hAnsi="Calibri" w:cs="Calibri"/>
                <w:b/>
                <w:bCs/>
                <w:color w:val="FFFFFF" w:themeColor="light1"/>
                <w:kern w:val="24"/>
                <w:szCs w:val="24"/>
              </w:rPr>
              <w:t xml:space="preserve"> </w:t>
            </w:r>
          </w:p>
          <w:p w14:paraId="5F17E03E" w14:textId="77777777" w:rsidR="001B5E9B" w:rsidRPr="009A0465" w:rsidRDefault="001B5E9B" w:rsidP="00402A38">
            <w:pPr>
              <w:rPr>
                <w:rFonts w:ascii="Arial" w:eastAsia="Times New Roman" w:hAnsi="Arial" w:cs="Arial"/>
                <w:sz w:val="36"/>
                <w:szCs w:val="36"/>
              </w:rPr>
            </w:pPr>
            <w:r w:rsidRPr="00373710">
              <w:rPr>
                <w:rFonts w:ascii="Calibri" w:eastAsia="Times New Roman" w:hAnsi="Calibri" w:cs="Calibri"/>
                <w:b/>
                <w:bCs/>
                <w:color w:val="FFFFFF" w:themeColor="light1"/>
                <w:kern w:val="24"/>
                <w:szCs w:val="24"/>
              </w:rPr>
              <w:t>2023</w:t>
            </w:r>
          </w:p>
        </w:tc>
        <w:tc>
          <w:tcPr>
            <w:tcW w:w="1261"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2028710" w14:textId="77777777" w:rsidR="001B5E9B" w:rsidRDefault="001B5E9B" w:rsidP="00402A38">
            <w:pPr>
              <w:rPr>
                <w:rFonts w:ascii="Calibri" w:eastAsia="Times New Roman" w:hAnsi="Calibri" w:cs="Calibri"/>
                <w:b/>
                <w:bCs/>
                <w:color w:val="FFFFFF" w:themeColor="light1"/>
                <w:kern w:val="24"/>
                <w:szCs w:val="24"/>
              </w:rPr>
            </w:pPr>
            <w:r w:rsidRPr="009A0465">
              <w:rPr>
                <w:rFonts w:ascii="Calibri" w:eastAsia="Times New Roman" w:hAnsi="Calibri" w:cs="Calibri"/>
                <w:b/>
                <w:bCs/>
                <w:color w:val="FFFFFF" w:themeColor="light1"/>
                <w:kern w:val="24"/>
                <w:szCs w:val="24"/>
              </w:rPr>
              <w:t>BME</w:t>
            </w:r>
            <w:r>
              <w:rPr>
                <w:rFonts w:ascii="Calibri" w:eastAsia="Times New Roman" w:hAnsi="Calibri" w:cs="Calibri"/>
                <w:b/>
                <w:bCs/>
                <w:color w:val="FFFFFF" w:themeColor="light1"/>
                <w:kern w:val="24"/>
                <w:szCs w:val="24"/>
              </w:rPr>
              <w:t xml:space="preserve"> </w:t>
            </w:r>
          </w:p>
          <w:p w14:paraId="260430CE" w14:textId="77777777" w:rsidR="001B5E9B" w:rsidRPr="00373710" w:rsidRDefault="001B5E9B" w:rsidP="00402A38">
            <w:pPr>
              <w:rPr>
                <w:rFonts w:ascii="Calibri" w:eastAsia="Times New Roman" w:hAnsi="Calibri" w:cs="Calibri"/>
                <w:b/>
                <w:bCs/>
                <w:color w:val="FFFFFF" w:themeColor="light1"/>
                <w:kern w:val="24"/>
                <w:szCs w:val="24"/>
              </w:rPr>
            </w:pPr>
            <w:r w:rsidRPr="00373710">
              <w:rPr>
                <w:rFonts w:ascii="Calibri" w:eastAsia="Times New Roman" w:hAnsi="Calibri" w:cs="Calibri"/>
                <w:b/>
                <w:bCs/>
                <w:color w:val="FFFFFF" w:themeColor="light1"/>
                <w:kern w:val="24"/>
                <w:szCs w:val="24"/>
              </w:rPr>
              <w:t>2023</w:t>
            </w:r>
          </w:p>
        </w:tc>
        <w:tc>
          <w:tcPr>
            <w:tcW w:w="126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9D106F6" w14:textId="77777777" w:rsidR="001B5E9B" w:rsidRPr="009A0465" w:rsidRDefault="001B5E9B" w:rsidP="00402A38">
            <w:pPr>
              <w:rPr>
                <w:rFonts w:ascii="Arial" w:eastAsia="Times New Roman" w:hAnsi="Arial" w:cs="Arial"/>
                <w:sz w:val="36"/>
                <w:szCs w:val="36"/>
              </w:rPr>
            </w:pPr>
            <w:r w:rsidRPr="009A0465">
              <w:rPr>
                <w:rFonts w:ascii="Calibri" w:eastAsia="Times New Roman" w:hAnsi="Calibri" w:cs="Calibri"/>
                <w:b/>
                <w:bCs/>
                <w:color w:val="FFFFFF" w:themeColor="light1"/>
                <w:kern w:val="24"/>
                <w:szCs w:val="24"/>
              </w:rPr>
              <w:t>Ethnicity Unknown/Null</w:t>
            </w:r>
          </w:p>
        </w:tc>
      </w:tr>
      <w:tr w:rsidR="001B5E9B" w:rsidRPr="009A0465" w14:paraId="567EBC07" w14:textId="77777777" w:rsidTr="009334B6">
        <w:trPr>
          <w:trHeight w:val="385"/>
        </w:trPr>
        <w:tc>
          <w:tcPr>
            <w:tcW w:w="2555"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6212E8" w14:textId="77777777" w:rsidR="001B5E9B" w:rsidRPr="006B1CC8" w:rsidRDefault="001B5E9B" w:rsidP="00402A38">
            <w:pPr>
              <w:rPr>
                <w:rFonts w:ascii="Arial" w:eastAsia="Times New Roman" w:hAnsi="Arial" w:cs="Arial"/>
                <w:sz w:val="36"/>
                <w:szCs w:val="36"/>
              </w:rPr>
            </w:pPr>
            <w:r w:rsidRPr="006B1CC8">
              <w:rPr>
                <w:rFonts w:ascii="Arial" w:eastAsia="Times New Roman" w:hAnsi="Arial" w:cs="Arial"/>
                <w:b/>
                <w:bCs/>
                <w:color w:val="000000" w:themeColor="dark1"/>
                <w:kern w:val="24"/>
                <w:szCs w:val="24"/>
              </w:rPr>
              <w:t>1a) Non-Clinical Workforce</w:t>
            </w:r>
          </w:p>
          <w:p w14:paraId="457C33BC" w14:textId="77777777" w:rsidR="001B5E9B" w:rsidRPr="006B1CC8" w:rsidRDefault="001B5E9B" w:rsidP="00402A38">
            <w:pPr>
              <w:rPr>
                <w:rFonts w:ascii="Arial" w:eastAsia="Times New Roman" w:hAnsi="Arial" w:cs="Arial"/>
                <w:sz w:val="36"/>
                <w:szCs w:val="36"/>
              </w:rPr>
            </w:pPr>
            <w:r w:rsidRPr="006B1CC8">
              <w:rPr>
                <w:rFonts w:ascii="Arial" w:eastAsia="Times New Roman" w:hAnsi="Arial" w:cs="Arial"/>
                <w:color w:val="000000" w:themeColor="dark1"/>
                <w:kern w:val="24"/>
                <w:szCs w:val="24"/>
              </w:rPr>
              <w:t xml:space="preserve">Percentage of staff in each of the </w:t>
            </w:r>
            <w:proofErr w:type="spellStart"/>
            <w:r w:rsidRPr="006B1CC8">
              <w:rPr>
                <w:rFonts w:ascii="Arial" w:eastAsia="Times New Roman" w:hAnsi="Arial" w:cs="Arial"/>
                <w:color w:val="000000" w:themeColor="dark1"/>
                <w:kern w:val="24"/>
                <w:szCs w:val="24"/>
              </w:rPr>
              <w:t>AfC</w:t>
            </w:r>
            <w:proofErr w:type="spellEnd"/>
            <w:r w:rsidRPr="006B1CC8">
              <w:rPr>
                <w:rFonts w:ascii="Arial" w:eastAsia="Times New Roman" w:hAnsi="Arial" w:cs="Arial"/>
                <w:color w:val="000000" w:themeColor="dark1"/>
                <w:kern w:val="24"/>
                <w:szCs w:val="24"/>
              </w:rPr>
              <w:t xml:space="preserve"> Bands 1-9 OR Medical and Dental subgroups and VSM (including executive Board members) compared with the percentage of staff in the overall workforce</w:t>
            </w:r>
          </w:p>
        </w:tc>
        <w:tc>
          <w:tcPr>
            <w:tcW w:w="180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D98AE3"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Under Band 1</w:t>
            </w:r>
          </w:p>
        </w:tc>
        <w:tc>
          <w:tcPr>
            <w:tcW w:w="1260" w:type="dxa"/>
            <w:gridSpan w:val="2"/>
            <w:tcBorders>
              <w:top w:val="single" w:sz="24" w:space="0" w:color="FFFFFF"/>
              <w:left w:val="single" w:sz="8" w:space="0" w:color="FFFFFF"/>
              <w:bottom w:val="single" w:sz="8" w:space="0" w:color="FFFFFF"/>
              <w:right w:val="single" w:sz="8" w:space="0" w:color="FFFFFF"/>
            </w:tcBorders>
            <w:shd w:val="clear" w:color="auto" w:fill="CFD5EA"/>
          </w:tcPr>
          <w:p w14:paraId="5CB20D44"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5</w:t>
            </w:r>
          </w:p>
        </w:tc>
        <w:tc>
          <w:tcPr>
            <w:tcW w:w="1261" w:type="dxa"/>
            <w:gridSpan w:val="2"/>
            <w:tcBorders>
              <w:top w:val="single" w:sz="24" w:space="0" w:color="FFFFFF"/>
              <w:left w:val="single" w:sz="8" w:space="0" w:color="FFFFFF"/>
              <w:bottom w:val="single" w:sz="8" w:space="0" w:color="FFFFFF"/>
              <w:right w:val="single" w:sz="8" w:space="0" w:color="FFFFFF"/>
            </w:tcBorders>
            <w:shd w:val="clear" w:color="auto" w:fill="CFD5EA"/>
          </w:tcPr>
          <w:p w14:paraId="35B3CBA3"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w:t>
            </w:r>
          </w:p>
        </w:tc>
        <w:tc>
          <w:tcPr>
            <w:tcW w:w="1260" w:type="dxa"/>
            <w:gridSpan w:val="2"/>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D97EF3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10</w:t>
            </w:r>
          </w:p>
        </w:tc>
        <w:tc>
          <w:tcPr>
            <w:tcW w:w="1261" w:type="dxa"/>
            <w:gridSpan w:val="2"/>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C0603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w:t>
            </w:r>
          </w:p>
        </w:tc>
        <w:tc>
          <w:tcPr>
            <w:tcW w:w="12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377B36"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w:t>
            </w:r>
          </w:p>
        </w:tc>
      </w:tr>
      <w:tr w:rsidR="001B5E9B" w:rsidRPr="009A0465" w14:paraId="15DA75B4" w14:textId="77777777" w:rsidTr="009334B6">
        <w:trPr>
          <w:trHeight w:val="405"/>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57004A95"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3A2180"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1</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Pr>
          <w:p w14:paraId="6E241080"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Pr>
          <w:p w14:paraId="7899F901"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F29AF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72FDC76"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c>
          <w:tcPr>
            <w:tcW w:w="12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2294F7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r>
      <w:tr w:rsidR="001B5E9B" w:rsidRPr="009A0465" w14:paraId="7375B416" w14:textId="77777777" w:rsidTr="009334B6">
        <w:trPr>
          <w:trHeight w:val="399"/>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78E23C53"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31365D"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2</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Pr>
          <w:p w14:paraId="6CFF4B26"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391</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Pr>
          <w:p w14:paraId="18F2E7F2"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35</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B8DB3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177</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BDF46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22</w:t>
            </w:r>
          </w:p>
        </w:tc>
        <w:tc>
          <w:tcPr>
            <w:tcW w:w="12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566BE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20</w:t>
            </w:r>
          </w:p>
        </w:tc>
      </w:tr>
      <w:tr w:rsidR="001B5E9B" w:rsidRPr="009A0465" w14:paraId="6B63D95F" w14:textId="77777777" w:rsidTr="009334B6">
        <w:trPr>
          <w:trHeight w:val="265"/>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058A9AEB"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65E4A4"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3</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Pr>
          <w:p w14:paraId="2D01350E"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497</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Pr>
          <w:p w14:paraId="225D2CE2"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40</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B8FA8E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469</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150693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43</w:t>
            </w:r>
          </w:p>
        </w:tc>
        <w:tc>
          <w:tcPr>
            <w:tcW w:w="12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E1F43F"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32</w:t>
            </w:r>
          </w:p>
        </w:tc>
      </w:tr>
      <w:tr w:rsidR="001B5E9B" w:rsidRPr="009A0465" w14:paraId="3DB5B705" w14:textId="77777777" w:rsidTr="009334B6">
        <w:trPr>
          <w:trHeight w:val="371"/>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7096F798"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A57A54"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4</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Pr>
          <w:p w14:paraId="6952C8F2"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228</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Pr>
          <w:p w14:paraId="27F3E35A"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12</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65BBB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231</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DEB13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19</w:t>
            </w:r>
          </w:p>
        </w:tc>
        <w:tc>
          <w:tcPr>
            <w:tcW w:w="12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41A07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25</w:t>
            </w:r>
          </w:p>
        </w:tc>
      </w:tr>
      <w:tr w:rsidR="001B5E9B" w:rsidRPr="009A0465" w14:paraId="37BE13F1" w14:textId="77777777" w:rsidTr="009334B6">
        <w:trPr>
          <w:trHeight w:val="265"/>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7F3B00B9"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597A51B"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5</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Pr>
          <w:p w14:paraId="75A5C5DC"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140</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Pr>
          <w:p w14:paraId="73A48CF1"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17</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ABFFBD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143</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22DAF3E"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14</w:t>
            </w:r>
          </w:p>
        </w:tc>
        <w:tc>
          <w:tcPr>
            <w:tcW w:w="12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A8973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10</w:t>
            </w:r>
          </w:p>
        </w:tc>
      </w:tr>
      <w:tr w:rsidR="001B5E9B" w:rsidRPr="009A0465" w14:paraId="2E94CC87" w14:textId="77777777" w:rsidTr="009334B6">
        <w:trPr>
          <w:trHeight w:val="371"/>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120FD1CE"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F089BB"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6</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Pr>
          <w:p w14:paraId="3DE07FC2"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146</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Pr>
          <w:p w14:paraId="6892117D"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13</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6B5C45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135</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63A5F4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22</w:t>
            </w:r>
          </w:p>
        </w:tc>
        <w:tc>
          <w:tcPr>
            <w:tcW w:w="12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66E610"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15</w:t>
            </w:r>
          </w:p>
        </w:tc>
      </w:tr>
      <w:tr w:rsidR="001B5E9B" w:rsidRPr="009A0465" w14:paraId="0327D78F" w14:textId="77777777" w:rsidTr="009334B6">
        <w:trPr>
          <w:trHeight w:val="408"/>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1D773348"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0F71BA4"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7</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Pr>
          <w:p w14:paraId="22EC04D3"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75</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Pr>
          <w:p w14:paraId="5381C681"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4A91C8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72</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B7C76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w:t>
            </w:r>
          </w:p>
        </w:tc>
        <w:tc>
          <w:tcPr>
            <w:tcW w:w="12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6A616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r>
      <w:tr w:rsidR="001B5E9B" w:rsidRPr="009A0465" w14:paraId="40ED0F4A" w14:textId="77777777" w:rsidTr="009334B6">
        <w:trPr>
          <w:trHeight w:val="421"/>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2A853755"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A87C11"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8a</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Pr>
          <w:p w14:paraId="01AC6DE6"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43</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Pr>
          <w:p w14:paraId="4F00BC3D"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42460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46</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85718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w:t>
            </w:r>
          </w:p>
        </w:tc>
        <w:tc>
          <w:tcPr>
            <w:tcW w:w="12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96132F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r>
      <w:tr w:rsidR="001B5E9B" w:rsidRPr="009A0465" w14:paraId="5EA22C6B" w14:textId="77777777" w:rsidTr="009334B6">
        <w:trPr>
          <w:trHeight w:val="375"/>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61705063"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CC8E33F"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8b</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Pr>
          <w:p w14:paraId="31C2B656"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29</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Pr>
          <w:p w14:paraId="15D9E1E7"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w:t>
            </w:r>
          </w:p>
        </w:tc>
        <w:tc>
          <w:tcPr>
            <w:tcW w:w="1260"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BC1A8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35</w:t>
            </w:r>
          </w:p>
        </w:tc>
        <w:tc>
          <w:tcPr>
            <w:tcW w:w="1261"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552B56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w:t>
            </w:r>
          </w:p>
        </w:tc>
        <w:tc>
          <w:tcPr>
            <w:tcW w:w="12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066D7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9A0465" w14:paraId="03DCACC1" w14:textId="77777777" w:rsidTr="009334B6">
        <w:trPr>
          <w:trHeight w:val="334"/>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0E8EFBEF"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63CB5B"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8c</w:t>
            </w:r>
          </w:p>
        </w:tc>
        <w:tc>
          <w:tcPr>
            <w:tcW w:w="1035" w:type="dxa"/>
            <w:tcBorders>
              <w:top w:val="single" w:sz="8" w:space="0" w:color="FFFFFF"/>
              <w:left w:val="single" w:sz="8" w:space="0" w:color="FFFFFF"/>
              <w:bottom w:val="single" w:sz="8" w:space="0" w:color="FFFFFF"/>
              <w:right w:val="single" w:sz="8" w:space="0" w:color="FFFFFF"/>
            </w:tcBorders>
            <w:shd w:val="clear" w:color="auto" w:fill="CFD5EA"/>
          </w:tcPr>
          <w:p w14:paraId="757D1921"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21</w:t>
            </w:r>
          </w:p>
        </w:tc>
        <w:tc>
          <w:tcPr>
            <w:tcW w:w="896" w:type="dxa"/>
            <w:gridSpan w:val="2"/>
            <w:tcBorders>
              <w:top w:val="single" w:sz="8" w:space="0" w:color="FFFFFF"/>
              <w:left w:val="single" w:sz="8" w:space="0" w:color="FFFFFF"/>
              <w:bottom w:val="single" w:sz="8" w:space="0" w:color="FFFFFF"/>
              <w:right w:val="single" w:sz="8" w:space="0" w:color="FFFFFF"/>
            </w:tcBorders>
            <w:shd w:val="clear" w:color="auto" w:fill="CFD5EA"/>
          </w:tcPr>
          <w:p w14:paraId="5B39F43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w:t>
            </w:r>
          </w:p>
        </w:tc>
        <w:tc>
          <w:tcPr>
            <w:tcW w:w="1203"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5B755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19</w:t>
            </w:r>
          </w:p>
        </w:tc>
        <w:tc>
          <w:tcPr>
            <w:tcW w:w="1407"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B178C1"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c>
          <w:tcPr>
            <w:tcW w:w="1762"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72380A"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9A0465" w14:paraId="76B613D4" w14:textId="77777777" w:rsidTr="009334B6">
        <w:trPr>
          <w:trHeight w:val="293"/>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43DC28C7" w14:textId="77777777" w:rsidR="001B5E9B" w:rsidRPr="006B1CC8"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0152AC3"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8d</w:t>
            </w:r>
          </w:p>
        </w:tc>
        <w:tc>
          <w:tcPr>
            <w:tcW w:w="1035" w:type="dxa"/>
            <w:tcBorders>
              <w:top w:val="single" w:sz="8" w:space="0" w:color="FFFFFF"/>
              <w:left w:val="single" w:sz="8" w:space="0" w:color="FFFFFF"/>
              <w:bottom w:val="single" w:sz="8" w:space="0" w:color="FFFFFF"/>
              <w:right w:val="single" w:sz="8" w:space="0" w:color="FFFFFF"/>
            </w:tcBorders>
            <w:shd w:val="clear" w:color="auto" w:fill="E9EBF5"/>
          </w:tcPr>
          <w:p w14:paraId="77167E30"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11</w:t>
            </w:r>
          </w:p>
        </w:tc>
        <w:tc>
          <w:tcPr>
            <w:tcW w:w="896" w:type="dxa"/>
            <w:gridSpan w:val="2"/>
            <w:tcBorders>
              <w:top w:val="single" w:sz="8" w:space="0" w:color="FFFFFF"/>
              <w:left w:val="single" w:sz="8" w:space="0" w:color="FFFFFF"/>
              <w:bottom w:val="single" w:sz="8" w:space="0" w:color="FFFFFF"/>
              <w:right w:val="single" w:sz="8" w:space="0" w:color="FFFFFF"/>
            </w:tcBorders>
            <w:shd w:val="clear" w:color="auto" w:fill="E9EBF5"/>
          </w:tcPr>
          <w:p w14:paraId="34F3E150"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w:t>
            </w:r>
          </w:p>
        </w:tc>
        <w:tc>
          <w:tcPr>
            <w:tcW w:w="1203"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B1786DE"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10</w:t>
            </w:r>
          </w:p>
        </w:tc>
        <w:tc>
          <w:tcPr>
            <w:tcW w:w="1407"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9DAD1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c>
          <w:tcPr>
            <w:tcW w:w="1762"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C063F45"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9A0465" w14:paraId="1DB8E3B1" w14:textId="77777777" w:rsidTr="009334B6">
        <w:trPr>
          <w:trHeight w:val="389"/>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42239D15" w14:textId="77777777" w:rsidR="001B5E9B" w:rsidRPr="009A0465"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B4E0C36"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9</w:t>
            </w:r>
          </w:p>
        </w:tc>
        <w:tc>
          <w:tcPr>
            <w:tcW w:w="1035" w:type="dxa"/>
            <w:tcBorders>
              <w:top w:val="single" w:sz="8" w:space="0" w:color="FFFFFF"/>
              <w:left w:val="single" w:sz="8" w:space="0" w:color="FFFFFF"/>
              <w:bottom w:val="single" w:sz="8" w:space="0" w:color="FFFFFF"/>
              <w:right w:val="single" w:sz="8" w:space="0" w:color="FFFFFF"/>
            </w:tcBorders>
            <w:shd w:val="clear" w:color="auto" w:fill="CFD5EA"/>
          </w:tcPr>
          <w:p w14:paraId="2C376ECD"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w:t>
            </w:r>
          </w:p>
        </w:tc>
        <w:tc>
          <w:tcPr>
            <w:tcW w:w="896" w:type="dxa"/>
            <w:gridSpan w:val="2"/>
            <w:tcBorders>
              <w:top w:val="single" w:sz="8" w:space="0" w:color="FFFFFF"/>
              <w:left w:val="single" w:sz="8" w:space="0" w:color="FFFFFF"/>
              <w:bottom w:val="single" w:sz="8" w:space="0" w:color="FFFFFF"/>
              <w:right w:val="single" w:sz="8" w:space="0" w:color="FFFFFF"/>
            </w:tcBorders>
            <w:shd w:val="clear" w:color="auto" w:fill="CFD5EA"/>
          </w:tcPr>
          <w:p w14:paraId="65A279A0"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0</w:t>
            </w:r>
          </w:p>
        </w:tc>
        <w:tc>
          <w:tcPr>
            <w:tcW w:w="1203"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520D016"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w:t>
            </w:r>
          </w:p>
        </w:tc>
        <w:tc>
          <w:tcPr>
            <w:tcW w:w="1407"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DB911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c>
          <w:tcPr>
            <w:tcW w:w="1762" w:type="dxa"/>
            <w:gridSpan w:val="2"/>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5AFD6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r>
      <w:tr w:rsidR="001B5E9B" w:rsidRPr="009A0465" w14:paraId="5B89B130" w14:textId="77777777" w:rsidTr="009334B6">
        <w:trPr>
          <w:trHeight w:val="357"/>
        </w:trPr>
        <w:tc>
          <w:tcPr>
            <w:tcW w:w="2555" w:type="dxa"/>
            <w:vMerge/>
            <w:tcBorders>
              <w:top w:val="single" w:sz="24" w:space="0" w:color="FFFFFF"/>
              <w:left w:val="single" w:sz="8" w:space="0" w:color="FFFFFF"/>
              <w:bottom w:val="single" w:sz="8" w:space="0" w:color="FFFFFF"/>
              <w:right w:val="single" w:sz="8" w:space="0" w:color="FFFFFF"/>
            </w:tcBorders>
            <w:vAlign w:val="center"/>
            <w:hideMark/>
          </w:tcPr>
          <w:p w14:paraId="5903AD67" w14:textId="77777777" w:rsidR="001B5E9B" w:rsidRPr="009A0465" w:rsidRDefault="001B5E9B" w:rsidP="00402A38">
            <w:pPr>
              <w:rPr>
                <w:rFonts w:ascii="Arial" w:eastAsia="Times New Roman" w:hAnsi="Arial" w:cs="Arial"/>
                <w:sz w:val="36"/>
                <w:szCs w:val="36"/>
              </w:rPr>
            </w:pPr>
          </w:p>
        </w:tc>
        <w:tc>
          <w:tcPr>
            <w:tcW w:w="180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D2039C8" w14:textId="77777777" w:rsidR="001B5E9B" w:rsidRPr="00B226A4" w:rsidRDefault="001B5E9B" w:rsidP="00402A38">
            <w:pPr>
              <w:rPr>
                <w:rFonts w:ascii="Arial" w:eastAsia="Times New Roman" w:hAnsi="Arial" w:cs="Arial"/>
                <w:sz w:val="22"/>
                <w:szCs w:val="22"/>
              </w:rPr>
            </w:pPr>
            <w:r w:rsidRPr="00B226A4">
              <w:rPr>
                <w:rFonts w:ascii="Arial" w:eastAsia="Times New Roman" w:hAnsi="Arial" w:cs="Arial"/>
                <w:color w:val="000000" w:themeColor="dark1"/>
                <w:kern w:val="24"/>
                <w:sz w:val="22"/>
                <w:szCs w:val="22"/>
              </w:rPr>
              <w:t>VSM</w:t>
            </w:r>
          </w:p>
        </w:tc>
        <w:tc>
          <w:tcPr>
            <w:tcW w:w="1035" w:type="dxa"/>
            <w:tcBorders>
              <w:top w:val="single" w:sz="8" w:space="0" w:color="FFFFFF"/>
              <w:left w:val="single" w:sz="8" w:space="0" w:color="FFFFFF"/>
              <w:bottom w:val="single" w:sz="8" w:space="0" w:color="FFFFFF"/>
              <w:right w:val="single" w:sz="8" w:space="0" w:color="FFFFFF"/>
            </w:tcBorders>
            <w:shd w:val="clear" w:color="auto" w:fill="E9EBF5"/>
          </w:tcPr>
          <w:p w14:paraId="5855A70A" w14:textId="77777777" w:rsidR="001B5E9B" w:rsidRPr="00B226A4" w:rsidRDefault="001B5E9B" w:rsidP="00402A38">
            <w:pPr>
              <w:jc w:val="center"/>
              <w:rPr>
                <w:rFonts w:ascii="Arial" w:eastAsia="Times New Roman" w:hAnsi="Arial" w:cs="Arial"/>
                <w:color w:val="000000" w:themeColor="dark1"/>
                <w:kern w:val="24"/>
                <w:sz w:val="22"/>
                <w:szCs w:val="22"/>
              </w:rPr>
            </w:pPr>
            <w:r w:rsidRPr="00B226A4">
              <w:rPr>
                <w:rFonts w:ascii="Arial" w:hAnsi="Arial" w:cs="Arial"/>
                <w:sz w:val="22"/>
                <w:szCs w:val="22"/>
              </w:rPr>
              <w:t>5</w:t>
            </w:r>
          </w:p>
        </w:tc>
        <w:tc>
          <w:tcPr>
            <w:tcW w:w="896" w:type="dxa"/>
            <w:gridSpan w:val="2"/>
            <w:tcBorders>
              <w:top w:val="single" w:sz="8" w:space="0" w:color="FFFFFF"/>
              <w:left w:val="single" w:sz="8" w:space="0" w:color="FFFFFF"/>
              <w:bottom w:val="single" w:sz="8" w:space="0" w:color="FFFFFF"/>
              <w:right w:val="single" w:sz="8" w:space="0" w:color="FFFFFF"/>
            </w:tcBorders>
            <w:shd w:val="clear" w:color="auto" w:fill="E9EBF5"/>
          </w:tcPr>
          <w:p w14:paraId="68F60E5C" w14:textId="77777777" w:rsidR="001B5E9B" w:rsidRPr="00B226A4" w:rsidRDefault="001B5E9B" w:rsidP="00402A38">
            <w:pPr>
              <w:jc w:val="center"/>
              <w:rPr>
                <w:rFonts w:ascii="Arial" w:eastAsia="Times New Roman" w:hAnsi="Arial" w:cs="Arial"/>
                <w:color w:val="000000" w:themeColor="dark1"/>
                <w:kern w:val="24"/>
                <w:sz w:val="22"/>
                <w:szCs w:val="22"/>
              </w:rPr>
            </w:pPr>
            <w:r w:rsidRPr="00B226A4">
              <w:rPr>
                <w:rFonts w:ascii="Arial" w:hAnsi="Arial" w:cs="Arial"/>
                <w:sz w:val="22"/>
                <w:szCs w:val="22"/>
              </w:rPr>
              <w:t>1</w:t>
            </w:r>
          </w:p>
        </w:tc>
        <w:tc>
          <w:tcPr>
            <w:tcW w:w="1203"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291D68F"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5</w:t>
            </w:r>
          </w:p>
        </w:tc>
        <w:tc>
          <w:tcPr>
            <w:tcW w:w="1407"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FE0FE71"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1</w:t>
            </w:r>
          </w:p>
        </w:tc>
        <w:tc>
          <w:tcPr>
            <w:tcW w:w="1762" w:type="dxa"/>
            <w:gridSpan w:val="2"/>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58E34BB"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0</w:t>
            </w:r>
          </w:p>
        </w:tc>
      </w:tr>
    </w:tbl>
    <w:p w14:paraId="74F34106" w14:textId="70A87306" w:rsidR="001B5E9B" w:rsidRDefault="001B5E9B" w:rsidP="001B5E9B">
      <w:pPr>
        <w:rPr>
          <w:rFonts w:ascii="Arial" w:hAnsi="Arial"/>
          <w:b/>
          <w:sz w:val="28"/>
        </w:rPr>
      </w:pPr>
      <w:r>
        <w:rPr>
          <w:rFonts w:ascii="Arial" w:hAnsi="Arial"/>
          <w:b/>
          <w:sz w:val="28"/>
        </w:rPr>
        <w:lastRenderedPageBreak/>
        <w:t>Clinical Workforce</w:t>
      </w:r>
    </w:p>
    <w:p w14:paraId="0951A2D2" w14:textId="77777777" w:rsidR="001B5E9B" w:rsidRDefault="001B5E9B" w:rsidP="001B5E9B">
      <w:pPr>
        <w:rPr>
          <w:rFonts w:ascii="Arial" w:hAnsi="Arial"/>
          <w:b/>
          <w:sz w:val="28"/>
        </w:rPr>
      </w:pPr>
    </w:p>
    <w:tbl>
      <w:tblPr>
        <w:tblW w:w="10632" w:type="dxa"/>
        <w:tblInd w:w="-10" w:type="dxa"/>
        <w:tblLayout w:type="fixed"/>
        <w:tblCellMar>
          <w:left w:w="0" w:type="dxa"/>
          <w:right w:w="0" w:type="dxa"/>
        </w:tblCellMar>
        <w:tblLook w:val="0420" w:firstRow="1" w:lastRow="0" w:firstColumn="0" w:lastColumn="0" w:noHBand="0" w:noVBand="1"/>
      </w:tblPr>
      <w:tblGrid>
        <w:gridCol w:w="194"/>
        <w:gridCol w:w="40"/>
        <w:gridCol w:w="2419"/>
        <w:gridCol w:w="1751"/>
        <w:gridCol w:w="1249"/>
        <w:gridCol w:w="1249"/>
        <w:gridCol w:w="1249"/>
        <w:gridCol w:w="1250"/>
        <w:gridCol w:w="1231"/>
      </w:tblGrid>
      <w:tr w:rsidR="001B5E9B" w:rsidRPr="00FA065E" w14:paraId="1D4160B5" w14:textId="77777777" w:rsidTr="009334B6">
        <w:trPr>
          <w:trHeight w:val="584"/>
        </w:trPr>
        <w:tc>
          <w:tcPr>
            <w:tcW w:w="2653"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DFAAD6F"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1</w:t>
            </w:r>
          </w:p>
        </w:tc>
        <w:tc>
          <w:tcPr>
            <w:tcW w:w="17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4DC5E62"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Data Item</w:t>
            </w:r>
          </w:p>
        </w:tc>
        <w:tc>
          <w:tcPr>
            <w:tcW w:w="1249" w:type="dxa"/>
            <w:tcBorders>
              <w:top w:val="single" w:sz="8" w:space="0" w:color="FFFFFF"/>
              <w:left w:val="single" w:sz="8" w:space="0" w:color="FFFFFF"/>
              <w:bottom w:val="single" w:sz="24" w:space="0" w:color="FFFFFF"/>
              <w:right w:val="single" w:sz="8" w:space="0" w:color="FFFFFF"/>
            </w:tcBorders>
            <w:shd w:val="clear" w:color="auto" w:fill="4472C4"/>
          </w:tcPr>
          <w:p w14:paraId="351D8E06" w14:textId="77777777" w:rsidR="001B5E9B" w:rsidRDefault="001B5E9B" w:rsidP="00402A38">
            <w:pPr>
              <w:jc w:val="cente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White</w:t>
            </w:r>
          </w:p>
          <w:p w14:paraId="49DE4D67" w14:textId="77777777" w:rsidR="001B5E9B" w:rsidRDefault="001B5E9B" w:rsidP="00402A38">
            <w:pPr>
              <w:jc w:val="cente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2022</w:t>
            </w:r>
          </w:p>
        </w:tc>
        <w:tc>
          <w:tcPr>
            <w:tcW w:w="1249" w:type="dxa"/>
            <w:tcBorders>
              <w:top w:val="single" w:sz="8" w:space="0" w:color="FFFFFF"/>
              <w:left w:val="single" w:sz="8" w:space="0" w:color="FFFFFF"/>
              <w:bottom w:val="single" w:sz="24" w:space="0" w:color="FFFFFF"/>
              <w:right w:val="single" w:sz="8" w:space="0" w:color="FFFFFF"/>
            </w:tcBorders>
            <w:shd w:val="clear" w:color="auto" w:fill="4472C4"/>
          </w:tcPr>
          <w:p w14:paraId="704C3E5C" w14:textId="77777777" w:rsidR="001B5E9B" w:rsidRDefault="001B5E9B" w:rsidP="00402A38">
            <w:pPr>
              <w:jc w:val="cente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BME</w:t>
            </w:r>
          </w:p>
          <w:p w14:paraId="38013660" w14:textId="77777777" w:rsidR="001B5E9B" w:rsidRPr="00FA065E" w:rsidRDefault="001B5E9B" w:rsidP="00402A38">
            <w:pPr>
              <w:jc w:val="cente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2022</w:t>
            </w:r>
          </w:p>
        </w:tc>
        <w:tc>
          <w:tcPr>
            <w:tcW w:w="124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18FCA88" w14:textId="77777777" w:rsidR="001B5E9B" w:rsidRDefault="001B5E9B" w:rsidP="00402A38">
            <w:pPr>
              <w:jc w:val="center"/>
              <w:rPr>
                <w:rFonts w:ascii="Calibri" w:eastAsia="Times New Roman" w:hAnsi="Calibri" w:cs="Calibri"/>
                <w:b/>
                <w:bCs/>
                <w:color w:val="FFFFFF" w:themeColor="light1"/>
                <w:kern w:val="24"/>
                <w:szCs w:val="24"/>
              </w:rPr>
            </w:pPr>
            <w:r w:rsidRPr="00FA065E">
              <w:rPr>
                <w:rFonts w:ascii="Calibri" w:eastAsia="Times New Roman" w:hAnsi="Calibri" w:cs="Calibri"/>
                <w:b/>
                <w:bCs/>
                <w:color w:val="FFFFFF" w:themeColor="light1"/>
                <w:kern w:val="24"/>
                <w:szCs w:val="24"/>
              </w:rPr>
              <w:t>White</w:t>
            </w:r>
          </w:p>
          <w:p w14:paraId="24598C17" w14:textId="77777777" w:rsidR="001B5E9B" w:rsidRPr="00FA065E" w:rsidRDefault="001B5E9B" w:rsidP="00402A38">
            <w:pPr>
              <w:jc w:val="center"/>
              <w:rPr>
                <w:rFonts w:ascii="Arial" w:eastAsia="Times New Roman" w:hAnsi="Arial" w:cs="Arial"/>
                <w:sz w:val="36"/>
                <w:szCs w:val="36"/>
              </w:rPr>
            </w:pPr>
            <w:r>
              <w:rPr>
                <w:rFonts w:ascii="Calibri" w:eastAsia="Times New Roman" w:hAnsi="Calibri" w:cs="Calibri"/>
                <w:bCs/>
                <w:color w:val="FFFFFF" w:themeColor="light1"/>
                <w:kern w:val="24"/>
                <w:szCs w:val="24"/>
              </w:rPr>
              <w:t>2023</w:t>
            </w:r>
          </w:p>
        </w:tc>
        <w:tc>
          <w:tcPr>
            <w:tcW w:w="12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A60092D" w14:textId="77777777" w:rsidR="001B5E9B" w:rsidRDefault="001B5E9B" w:rsidP="00402A38">
            <w:pPr>
              <w:jc w:val="center"/>
              <w:rPr>
                <w:rFonts w:ascii="Calibri" w:eastAsia="Times New Roman" w:hAnsi="Calibri" w:cs="Calibri"/>
                <w:b/>
                <w:bCs/>
                <w:color w:val="FFFFFF" w:themeColor="light1"/>
                <w:kern w:val="24"/>
                <w:szCs w:val="24"/>
              </w:rPr>
            </w:pPr>
            <w:r w:rsidRPr="00FA065E">
              <w:rPr>
                <w:rFonts w:ascii="Calibri" w:eastAsia="Times New Roman" w:hAnsi="Calibri" w:cs="Calibri"/>
                <w:b/>
                <w:bCs/>
                <w:color w:val="FFFFFF" w:themeColor="light1"/>
                <w:kern w:val="24"/>
                <w:szCs w:val="24"/>
              </w:rPr>
              <w:t>BME</w:t>
            </w:r>
          </w:p>
          <w:p w14:paraId="714CCD60" w14:textId="77777777" w:rsidR="001B5E9B" w:rsidRPr="00FA065E" w:rsidRDefault="001B5E9B" w:rsidP="00402A38">
            <w:pPr>
              <w:jc w:val="center"/>
              <w:rPr>
                <w:rFonts w:ascii="Arial" w:eastAsia="Times New Roman" w:hAnsi="Arial" w:cs="Arial"/>
                <w:sz w:val="36"/>
                <w:szCs w:val="36"/>
              </w:rPr>
            </w:pPr>
            <w:r>
              <w:rPr>
                <w:rFonts w:ascii="Calibri" w:eastAsia="Times New Roman" w:hAnsi="Calibri" w:cs="Calibri"/>
                <w:bCs/>
                <w:color w:val="FFFFFF" w:themeColor="light1"/>
                <w:kern w:val="24"/>
                <w:szCs w:val="24"/>
              </w:rPr>
              <w:t>2023</w:t>
            </w:r>
          </w:p>
        </w:tc>
        <w:tc>
          <w:tcPr>
            <w:tcW w:w="123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A6FC766"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Ethnicity Unknown/Null</w:t>
            </w:r>
          </w:p>
        </w:tc>
      </w:tr>
      <w:tr w:rsidR="001B5E9B" w:rsidRPr="00FA065E" w14:paraId="3772DC38" w14:textId="77777777" w:rsidTr="009334B6">
        <w:trPr>
          <w:trHeight w:val="584"/>
        </w:trPr>
        <w:tc>
          <w:tcPr>
            <w:tcW w:w="2653" w:type="dxa"/>
            <w:gridSpan w:val="3"/>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27D29F" w14:textId="77777777" w:rsidR="001B5E9B" w:rsidRPr="006B1CC8" w:rsidRDefault="001B5E9B" w:rsidP="00402A38">
            <w:pPr>
              <w:rPr>
                <w:rFonts w:ascii="Arial" w:eastAsia="Times New Roman" w:hAnsi="Arial" w:cs="Arial"/>
                <w:sz w:val="36"/>
                <w:szCs w:val="36"/>
              </w:rPr>
            </w:pPr>
            <w:r w:rsidRPr="006B1CC8">
              <w:rPr>
                <w:rFonts w:ascii="Arial" w:eastAsia="Times New Roman" w:hAnsi="Arial" w:cs="Arial"/>
                <w:b/>
                <w:bCs/>
                <w:color w:val="000000" w:themeColor="dark1"/>
                <w:kern w:val="24"/>
                <w:szCs w:val="24"/>
              </w:rPr>
              <w:t>1a) Clinical Workforce</w:t>
            </w:r>
          </w:p>
          <w:p w14:paraId="42C819EB" w14:textId="77777777" w:rsidR="001B5E9B" w:rsidRPr="006B1CC8" w:rsidRDefault="001B5E9B" w:rsidP="00402A38">
            <w:pPr>
              <w:rPr>
                <w:rFonts w:ascii="Arial" w:eastAsia="Times New Roman" w:hAnsi="Arial" w:cs="Arial"/>
                <w:b/>
                <w:bCs/>
                <w:sz w:val="36"/>
                <w:szCs w:val="36"/>
              </w:rPr>
            </w:pPr>
            <w:r w:rsidRPr="006B1CC8">
              <w:rPr>
                <w:rFonts w:ascii="Arial" w:eastAsia="Times New Roman" w:hAnsi="Arial" w:cs="Arial"/>
                <w:b/>
                <w:bCs/>
                <w:color w:val="000000" w:themeColor="dark1"/>
                <w:kern w:val="24"/>
                <w:szCs w:val="24"/>
              </w:rPr>
              <w:t xml:space="preserve">Percentage of staff in each of the </w:t>
            </w:r>
            <w:proofErr w:type="spellStart"/>
            <w:r w:rsidRPr="006B1CC8">
              <w:rPr>
                <w:rFonts w:ascii="Arial" w:eastAsia="Times New Roman" w:hAnsi="Arial" w:cs="Arial"/>
                <w:b/>
                <w:bCs/>
                <w:color w:val="000000" w:themeColor="dark1"/>
                <w:kern w:val="24"/>
                <w:szCs w:val="24"/>
              </w:rPr>
              <w:t>AfC</w:t>
            </w:r>
            <w:proofErr w:type="spellEnd"/>
            <w:r w:rsidRPr="006B1CC8">
              <w:rPr>
                <w:rFonts w:ascii="Arial" w:eastAsia="Times New Roman" w:hAnsi="Arial" w:cs="Arial"/>
                <w:b/>
                <w:bCs/>
                <w:color w:val="000000" w:themeColor="dark1"/>
                <w:kern w:val="24"/>
                <w:szCs w:val="24"/>
              </w:rPr>
              <w:t xml:space="preserve"> Bands 1-9 OR Medical and Dental subgroups and VSM (including executive Board members) compared with the percentage of staff in the overall workforce</w:t>
            </w:r>
          </w:p>
        </w:tc>
        <w:tc>
          <w:tcPr>
            <w:tcW w:w="175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972577"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Under Band 1</w:t>
            </w:r>
          </w:p>
        </w:tc>
        <w:tc>
          <w:tcPr>
            <w:tcW w:w="1249" w:type="dxa"/>
            <w:tcBorders>
              <w:top w:val="single" w:sz="24" w:space="0" w:color="FFFFFF"/>
              <w:left w:val="single" w:sz="8" w:space="0" w:color="FFFFFF"/>
              <w:bottom w:val="single" w:sz="8" w:space="0" w:color="FFFFFF"/>
              <w:right w:val="single" w:sz="8" w:space="0" w:color="FFFFFF"/>
            </w:tcBorders>
            <w:shd w:val="clear" w:color="auto" w:fill="CFD5EA"/>
          </w:tcPr>
          <w:p w14:paraId="6E84F894"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31</w:t>
            </w:r>
          </w:p>
        </w:tc>
        <w:tc>
          <w:tcPr>
            <w:tcW w:w="1249" w:type="dxa"/>
            <w:tcBorders>
              <w:top w:val="single" w:sz="24" w:space="0" w:color="FFFFFF"/>
              <w:left w:val="single" w:sz="8" w:space="0" w:color="FFFFFF"/>
              <w:bottom w:val="single" w:sz="8" w:space="0" w:color="FFFFFF"/>
              <w:right w:val="single" w:sz="8" w:space="0" w:color="FFFFFF"/>
            </w:tcBorders>
            <w:shd w:val="clear" w:color="auto" w:fill="CFD5EA"/>
          </w:tcPr>
          <w:p w14:paraId="7E41485D"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w:t>
            </w:r>
          </w:p>
        </w:tc>
        <w:tc>
          <w:tcPr>
            <w:tcW w:w="124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8208B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23</w:t>
            </w:r>
          </w:p>
        </w:tc>
        <w:tc>
          <w:tcPr>
            <w:tcW w:w="12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94B10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w:t>
            </w:r>
          </w:p>
        </w:tc>
        <w:tc>
          <w:tcPr>
            <w:tcW w:w="123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F58A9B1"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20</w:t>
            </w:r>
          </w:p>
        </w:tc>
      </w:tr>
      <w:tr w:rsidR="001B5E9B" w:rsidRPr="00FA065E" w14:paraId="23E746B9"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4C771FFE"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1133056"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1</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28321DA6"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0</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25A82AF2"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0</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F843DE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46FB3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12141D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r>
      <w:tr w:rsidR="001B5E9B" w:rsidRPr="00FA065E" w14:paraId="4E85DFA7"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7A90DF7A"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2DA34F9"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2</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282EEC6E"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669</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2B3105BD"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164</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B5EBF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811</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2A476F"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223</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034BF6"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128</w:t>
            </w:r>
          </w:p>
        </w:tc>
      </w:tr>
      <w:tr w:rsidR="001B5E9B" w:rsidRPr="00FA065E" w14:paraId="399C88CE"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00E1E7DB"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887C65"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3</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1019259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205</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2FC47484"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39</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EB6B130"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262</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1B851F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50</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2DF85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17</w:t>
            </w:r>
          </w:p>
        </w:tc>
      </w:tr>
      <w:tr w:rsidR="001B5E9B" w:rsidRPr="00FA065E" w14:paraId="06695D5F"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45391C08"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F5268A"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4</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69D4487C"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188</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0FED9A69"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8</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496E0F"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217</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100CF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22</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CE3F90"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138</w:t>
            </w:r>
          </w:p>
        </w:tc>
      </w:tr>
      <w:tr w:rsidR="001B5E9B" w:rsidRPr="00FA065E" w14:paraId="251FB070"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132FAD3A"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1547E3"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5</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7673A3AE"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868</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4D5B50B5"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488</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3340B6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781</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A5DACA"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494</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C73A9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261</w:t>
            </w:r>
          </w:p>
        </w:tc>
      </w:tr>
      <w:tr w:rsidR="001B5E9B" w:rsidRPr="00FA065E" w14:paraId="42929DEF"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4BC07CA6"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7ABC7B"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6</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299D7BCC"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952</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19A31508"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149</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06A982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987</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5C6F4E"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193</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26DA5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63</w:t>
            </w:r>
          </w:p>
        </w:tc>
      </w:tr>
      <w:tr w:rsidR="001B5E9B" w:rsidRPr="00FA065E" w14:paraId="4CC2FB58"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0DC1B65D"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B7DCDC6"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7</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044C036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488</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732BD538"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42</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39FABC5"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509</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8D8A1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62</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3F7995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30</w:t>
            </w:r>
          </w:p>
        </w:tc>
      </w:tr>
      <w:tr w:rsidR="001B5E9B" w:rsidRPr="00FA065E" w14:paraId="398EE4ED"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6F313D27"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03E75F"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8a</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63CFF80F"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135</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3C6C3B67"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14</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2FC41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138</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82B93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18</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084D6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7</w:t>
            </w:r>
          </w:p>
        </w:tc>
      </w:tr>
      <w:tr w:rsidR="001B5E9B" w:rsidRPr="00FA065E" w14:paraId="51CDC263"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39F136E2"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D34D52"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8b</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464A3F18"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42</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296362BF"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2</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D009D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44</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1719E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D49C315"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FA065E" w14:paraId="23EB5414"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5DA72DEC"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199AE64"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8c</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2FC4359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11</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154937C7"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ED972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9</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9CD5093"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498C5D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FA065E" w14:paraId="3723259C"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16053DF0"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25DC47"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8d</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6180838E"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4</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1A43D0C7"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1</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AD353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E041E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4DCFA2"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r>
      <w:tr w:rsidR="001B5E9B" w:rsidRPr="00FA065E" w14:paraId="6A3CB113" w14:textId="77777777" w:rsidTr="009334B6">
        <w:trPr>
          <w:trHeight w:val="584"/>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5A66AE82"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418D17"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Band 9</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5DCE795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3</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55127545"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hAnsi="Arial" w:cs="Arial"/>
                <w:sz w:val="22"/>
                <w:szCs w:val="22"/>
              </w:rPr>
              <w:t>0</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29B06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61658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0</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5813E3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r>
      <w:tr w:rsidR="001B5E9B" w:rsidRPr="00FA065E" w14:paraId="59675E0B" w14:textId="77777777" w:rsidTr="009334B6">
        <w:trPr>
          <w:trHeight w:val="357"/>
        </w:trPr>
        <w:tc>
          <w:tcPr>
            <w:tcW w:w="2653" w:type="dxa"/>
            <w:gridSpan w:val="3"/>
            <w:vMerge/>
            <w:tcBorders>
              <w:top w:val="single" w:sz="24" w:space="0" w:color="FFFFFF"/>
              <w:left w:val="single" w:sz="8" w:space="0" w:color="FFFFFF"/>
              <w:bottom w:val="single" w:sz="8" w:space="0" w:color="FFFFFF"/>
              <w:right w:val="single" w:sz="8" w:space="0" w:color="FFFFFF"/>
            </w:tcBorders>
            <w:vAlign w:val="center"/>
            <w:hideMark/>
          </w:tcPr>
          <w:p w14:paraId="356211BA" w14:textId="77777777" w:rsidR="001B5E9B" w:rsidRPr="006B1CC8"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E4ECEA9"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VSM</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005AE4D1" w14:textId="77777777" w:rsidR="001B5E9B" w:rsidRPr="00B226A4" w:rsidRDefault="001B5E9B" w:rsidP="00402A38">
            <w:pPr>
              <w:jc w:val="center"/>
              <w:rPr>
                <w:rFonts w:ascii="Arial" w:eastAsia="Times New Roman" w:hAnsi="Arial" w:cs="Arial"/>
                <w:color w:val="000000" w:themeColor="dark1"/>
                <w:kern w:val="24"/>
                <w:sz w:val="22"/>
                <w:szCs w:val="22"/>
              </w:rPr>
            </w:pPr>
            <w:r w:rsidRPr="00B226A4">
              <w:rPr>
                <w:rFonts w:ascii="Arial" w:hAnsi="Arial" w:cs="Arial"/>
                <w:sz w:val="22"/>
                <w:szCs w:val="22"/>
              </w:rPr>
              <w:t>1</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3A08DAFA" w14:textId="77777777" w:rsidR="001B5E9B" w:rsidRPr="00B226A4" w:rsidRDefault="001B5E9B" w:rsidP="00402A38">
            <w:pPr>
              <w:jc w:val="center"/>
              <w:rPr>
                <w:rFonts w:ascii="Arial" w:eastAsia="Times New Roman" w:hAnsi="Arial" w:cs="Arial"/>
                <w:color w:val="000000" w:themeColor="dark1"/>
                <w:kern w:val="24"/>
                <w:sz w:val="22"/>
                <w:szCs w:val="22"/>
              </w:rPr>
            </w:pPr>
            <w:r w:rsidRPr="00B226A4">
              <w:rPr>
                <w:rFonts w:ascii="Arial" w:hAnsi="Arial" w:cs="Arial"/>
                <w:sz w:val="22"/>
                <w:szCs w:val="22"/>
              </w:rPr>
              <w:t>0</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0C57361"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3</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E807D6"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0</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816E0B" w14:textId="77777777" w:rsidR="001B5E9B" w:rsidRPr="00B226A4" w:rsidRDefault="001B5E9B" w:rsidP="00402A38">
            <w:pPr>
              <w:jc w:val="center"/>
              <w:rPr>
                <w:rFonts w:ascii="Arial" w:eastAsia="Times New Roman" w:hAnsi="Arial" w:cs="Arial"/>
                <w:sz w:val="22"/>
                <w:szCs w:val="22"/>
              </w:rPr>
            </w:pPr>
            <w:r w:rsidRPr="00B226A4">
              <w:rPr>
                <w:rFonts w:ascii="Arial" w:eastAsia="Times New Roman" w:hAnsi="Arial" w:cs="Arial"/>
                <w:color w:val="000000" w:themeColor="dark1"/>
                <w:kern w:val="24"/>
                <w:sz w:val="22"/>
                <w:szCs w:val="22"/>
              </w:rPr>
              <w:t>0</w:t>
            </w:r>
          </w:p>
        </w:tc>
      </w:tr>
      <w:tr w:rsidR="001B5E9B" w:rsidRPr="00FA065E" w14:paraId="729CB5B2" w14:textId="77777777" w:rsidTr="009334B6">
        <w:trPr>
          <w:trHeight w:val="584"/>
        </w:trPr>
        <w:tc>
          <w:tcPr>
            <w:tcW w:w="194" w:type="dxa"/>
            <w:tcBorders>
              <w:top w:val="single" w:sz="8" w:space="0" w:color="FFFFFF"/>
              <w:left w:val="single" w:sz="8" w:space="0" w:color="FFFFFF"/>
              <w:bottom w:val="single" w:sz="8" w:space="0" w:color="FFFFFF"/>
              <w:right w:val="single" w:sz="8" w:space="0" w:color="FFFFFF"/>
            </w:tcBorders>
            <w:shd w:val="clear" w:color="auto" w:fill="0070C0"/>
          </w:tcPr>
          <w:p w14:paraId="6D8FBD79" w14:textId="77777777" w:rsidR="001B5E9B" w:rsidRPr="00FA065E" w:rsidRDefault="001B5E9B" w:rsidP="00402A38">
            <w:pPr>
              <w:rPr>
                <w:rFonts w:asciiTheme="minorHAnsi" w:eastAsiaTheme="minorEastAsia" w:hAnsi="Calibri" w:cstheme="minorBidi"/>
                <w:b/>
                <w:bCs/>
                <w:color w:val="FFFFFF" w:themeColor="light1"/>
                <w:kern w:val="24"/>
                <w:szCs w:val="24"/>
              </w:rPr>
            </w:pPr>
          </w:p>
        </w:tc>
        <w:tc>
          <w:tcPr>
            <w:tcW w:w="40" w:type="dxa"/>
            <w:tcBorders>
              <w:top w:val="single" w:sz="8" w:space="0" w:color="FFFFFF"/>
              <w:left w:val="single" w:sz="8" w:space="0" w:color="FFFFFF"/>
              <w:bottom w:val="single" w:sz="8" w:space="0" w:color="FFFFFF"/>
              <w:right w:val="single" w:sz="8" w:space="0" w:color="FFFFFF"/>
            </w:tcBorders>
            <w:shd w:val="clear" w:color="auto" w:fill="0070C0"/>
          </w:tcPr>
          <w:p w14:paraId="3E64BBA6" w14:textId="77777777" w:rsidR="001B5E9B" w:rsidRPr="00FA065E" w:rsidRDefault="001B5E9B" w:rsidP="00402A38">
            <w:pPr>
              <w:rPr>
                <w:rFonts w:asciiTheme="minorHAnsi" w:eastAsiaTheme="minorEastAsia" w:hAnsi="Calibri" w:cstheme="minorBidi"/>
                <w:b/>
                <w:bCs/>
                <w:color w:val="FFFFFF" w:themeColor="light1"/>
                <w:kern w:val="24"/>
                <w:szCs w:val="24"/>
              </w:rPr>
            </w:pPr>
          </w:p>
        </w:tc>
        <w:tc>
          <w:tcPr>
            <w:tcW w:w="10398" w:type="dxa"/>
            <w:gridSpan w:val="7"/>
            <w:tcBorders>
              <w:top w:val="single" w:sz="8" w:space="0" w:color="FFFFFF"/>
              <w:left w:val="single" w:sz="8" w:space="0" w:color="FFFFFF"/>
              <w:bottom w:val="single" w:sz="8" w:space="0" w:color="FFFFFF"/>
              <w:right w:val="single" w:sz="8" w:space="0" w:color="FFFFFF"/>
            </w:tcBorders>
            <w:shd w:val="clear" w:color="auto" w:fill="0070C0"/>
            <w:tcMar>
              <w:top w:w="72" w:type="dxa"/>
              <w:left w:w="144" w:type="dxa"/>
              <w:bottom w:w="72" w:type="dxa"/>
              <w:right w:w="144" w:type="dxa"/>
            </w:tcMar>
            <w:hideMark/>
          </w:tcPr>
          <w:p w14:paraId="397FB056" w14:textId="77777777" w:rsidR="001B5E9B" w:rsidRPr="00395526" w:rsidRDefault="001B5E9B" w:rsidP="00402A38">
            <w:pPr>
              <w:rPr>
                <w:rFonts w:ascii="Arial" w:eastAsia="Times New Roman" w:hAnsi="Arial" w:cs="Arial"/>
                <w:sz w:val="28"/>
                <w:szCs w:val="28"/>
              </w:rPr>
            </w:pPr>
            <w:r w:rsidRPr="00395526">
              <w:rPr>
                <w:rFonts w:asciiTheme="minorHAnsi" w:eastAsiaTheme="minorEastAsia" w:hAnsi="Calibri" w:cstheme="minorBidi"/>
                <w:b/>
                <w:bCs/>
                <w:color w:val="FFFFFF" w:themeColor="light1"/>
                <w:kern w:val="24"/>
                <w:sz w:val="28"/>
                <w:szCs w:val="28"/>
              </w:rPr>
              <w:t>Of which Medical &amp; Dental</w:t>
            </w:r>
          </w:p>
        </w:tc>
      </w:tr>
      <w:tr w:rsidR="001B5E9B" w:rsidRPr="00FA065E" w14:paraId="1B083FBC" w14:textId="77777777" w:rsidTr="009334B6">
        <w:trPr>
          <w:trHeight w:val="584"/>
        </w:trPr>
        <w:tc>
          <w:tcPr>
            <w:tcW w:w="2653" w:type="dxa"/>
            <w:gridSpan w:val="3"/>
            <w:vMerge w:val="restar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0F3616F" w14:textId="77777777" w:rsidR="001B5E9B" w:rsidRPr="00FA065E"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3ED84DE"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Consultants</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1A0EEC34"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317</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498844A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91</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BBF380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325</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D5A69C"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95</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657362"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23</w:t>
            </w:r>
          </w:p>
        </w:tc>
      </w:tr>
      <w:tr w:rsidR="001B5E9B" w:rsidRPr="00FA065E" w14:paraId="5F818693" w14:textId="77777777" w:rsidTr="009334B6">
        <w:trPr>
          <w:trHeight w:val="584"/>
        </w:trPr>
        <w:tc>
          <w:tcPr>
            <w:tcW w:w="2653" w:type="dxa"/>
            <w:gridSpan w:val="3"/>
            <w:vMerge/>
            <w:tcBorders>
              <w:top w:val="single" w:sz="8" w:space="0" w:color="FFFFFF"/>
              <w:left w:val="single" w:sz="8" w:space="0" w:color="FFFFFF"/>
              <w:bottom w:val="single" w:sz="8" w:space="0" w:color="FFFFFF"/>
              <w:right w:val="single" w:sz="8" w:space="0" w:color="FFFFFF"/>
            </w:tcBorders>
            <w:vAlign w:val="center"/>
            <w:hideMark/>
          </w:tcPr>
          <w:p w14:paraId="2681CD90" w14:textId="77777777" w:rsidR="001B5E9B" w:rsidRPr="00FA065E"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CB7E4FA"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Non-consultant career grade</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15D83898"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80</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Pr>
          <w:p w14:paraId="22FFD6AB"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70</w:t>
            </w:r>
          </w:p>
        </w:tc>
        <w:tc>
          <w:tcPr>
            <w:tcW w:w="12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DB217B"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64</w:t>
            </w:r>
          </w:p>
        </w:tc>
        <w:tc>
          <w:tcPr>
            <w:tcW w:w="12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A050D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81</w:t>
            </w:r>
          </w:p>
        </w:tc>
        <w:tc>
          <w:tcPr>
            <w:tcW w:w="12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4A03D4"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39</w:t>
            </w:r>
          </w:p>
        </w:tc>
      </w:tr>
      <w:tr w:rsidR="001B5E9B" w:rsidRPr="00FA065E" w14:paraId="213780BB" w14:textId="77777777" w:rsidTr="009334B6">
        <w:trPr>
          <w:trHeight w:val="584"/>
        </w:trPr>
        <w:tc>
          <w:tcPr>
            <w:tcW w:w="2653" w:type="dxa"/>
            <w:gridSpan w:val="3"/>
            <w:vMerge/>
            <w:tcBorders>
              <w:top w:val="single" w:sz="8" w:space="0" w:color="FFFFFF"/>
              <w:left w:val="single" w:sz="8" w:space="0" w:color="FFFFFF"/>
              <w:bottom w:val="single" w:sz="8" w:space="0" w:color="FFFFFF"/>
              <w:right w:val="single" w:sz="8" w:space="0" w:color="FFFFFF"/>
            </w:tcBorders>
            <w:vAlign w:val="center"/>
            <w:hideMark/>
          </w:tcPr>
          <w:p w14:paraId="071495D7" w14:textId="77777777" w:rsidR="001B5E9B" w:rsidRPr="00FA065E" w:rsidRDefault="001B5E9B" w:rsidP="00402A38">
            <w:pPr>
              <w:rPr>
                <w:rFonts w:ascii="Arial" w:eastAsia="Times New Roman" w:hAnsi="Arial" w:cs="Arial"/>
                <w:sz w:val="36"/>
                <w:szCs w:val="36"/>
              </w:rPr>
            </w:pPr>
          </w:p>
        </w:tc>
        <w:tc>
          <w:tcPr>
            <w:tcW w:w="17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BC503D1"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Trainee grades</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103030EF"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278</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Pr>
          <w:p w14:paraId="23D209A8" w14:textId="77777777" w:rsidR="001B5E9B" w:rsidRPr="00753D43" w:rsidRDefault="001B5E9B" w:rsidP="00402A38">
            <w:pPr>
              <w:jc w:val="center"/>
              <w:rPr>
                <w:rFonts w:ascii="Arial" w:eastAsia="Times New Roman" w:hAnsi="Arial" w:cs="Arial"/>
                <w:color w:val="000000" w:themeColor="dark1"/>
                <w:kern w:val="24"/>
                <w:sz w:val="22"/>
                <w:szCs w:val="22"/>
              </w:rPr>
            </w:pPr>
            <w:r w:rsidRPr="00753D43">
              <w:rPr>
                <w:rFonts w:ascii="Arial" w:eastAsia="Times New Roman" w:hAnsi="Arial" w:cs="Arial"/>
                <w:color w:val="000000" w:themeColor="dark1"/>
                <w:kern w:val="24"/>
                <w:sz w:val="22"/>
                <w:szCs w:val="22"/>
              </w:rPr>
              <w:t>65</w:t>
            </w:r>
          </w:p>
        </w:tc>
        <w:tc>
          <w:tcPr>
            <w:tcW w:w="12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BC93AC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280</w:t>
            </w:r>
          </w:p>
        </w:tc>
        <w:tc>
          <w:tcPr>
            <w:tcW w:w="12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1E1192D"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82</w:t>
            </w:r>
          </w:p>
        </w:tc>
        <w:tc>
          <w:tcPr>
            <w:tcW w:w="12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8F72E5"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57</w:t>
            </w:r>
          </w:p>
        </w:tc>
      </w:tr>
    </w:tbl>
    <w:p w14:paraId="26866521" w14:textId="0362BC1A" w:rsidR="008369D5" w:rsidRPr="008369D5" w:rsidRDefault="001B5E9B" w:rsidP="00C72AE2">
      <w:pPr>
        <w:rPr>
          <w:rFonts w:ascii="Arial" w:hAnsi="Arial" w:cs="Arial"/>
          <w:b/>
          <w:bCs/>
          <w:sz w:val="22"/>
          <w:szCs w:val="22"/>
          <w:u w:val="single"/>
        </w:rPr>
      </w:pPr>
      <w:r w:rsidRPr="008369D5">
        <w:rPr>
          <w:rFonts w:ascii="Arial" w:hAnsi="Arial" w:cs="Arial"/>
          <w:b/>
          <w:bCs/>
          <w:sz w:val="22"/>
          <w:szCs w:val="22"/>
          <w:u w:val="single"/>
        </w:rPr>
        <w:lastRenderedPageBreak/>
        <w:t xml:space="preserve">Non-Clinical </w:t>
      </w:r>
    </w:p>
    <w:p w14:paraId="7464BA9F" w14:textId="083BBE95" w:rsidR="00CE4F10" w:rsidRPr="008369D5" w:rsidRDefault="001B5E9B" w:rsidP="00C72AE2">
      <w:pPr>
        <w:rPr>
          <w:rFonts w:ascii="Arial" w:hAnsi="Arial" w:cs="Arial"/>
          <w:sz w:val="22"/>
          <w:szCs w:val="22"/>
        </w:rPr>
      </w:pPr>
      <w:r w:rsidRPr="008369D5">
        <w:rPr>
          <w:rFonts w:ascii="Arial" w:hAnsi="Arial" w:cs="Arial"/>
          <w:sz w:val="22"/>
          <w:szCs w:val="22"/>
        </w:rPr>
        <w:t xml:space="preserve">BME representation has remained the same </w:t>
      </w:r>
      <w:r w:rsidR="007E350A">
        <w:rPr>
          <w:rFonts w:ascii="Arial" w:hAnsi="Arial" w:cs="Arial"/>
          <w:sz w:val="22"/>
          <w:szCs w:val="22"/>
        </w:rPr>
        <w:t>as t</w:t>
      </w:r>
      <w:r w:rsidRPr="008369D5">
        <w:rPr>
          <w:rFonts w:ascii="Arial" w:hAnsi="Arial" w:cs="Arial"/>
          <w:sz w:val="22"/>
          <w:szCs w:val="22"/>
        </w:rPr>
        <w:t>he previous year</w:t>
      </w:r>
      <w:r w:rsidR="007E350A">
        <w:rPr>
          <w:rFonts w:ascii="Arial" w:hAnsi="Arial" w:cs="Arial"/>
          <w:sz w:val="22"/>
          <w:szCs w:val="22"/>
        </w:rPr>
        <w:t xml:space="preserve"> but </w:t>
      </w:r>
      <w:r w:rsidRPr="008369D5">
        <w:rPr>
          <w:rFonts w:ascii="Arial" w:hAnsi="Arial" w:cs="Arial"/>
          <w:sz w:val="22"/>
          <w:szCs w:val="22"/>
        </w:rPr>
        <w:t xml:space="preserve">white representation has decreased </w:t>
      </w:r>
      <w:r w:rsidR="00CE4F10" w:rsidRPr="008369D5">
        <w:rPr>
          <w:rFonts w:ascii="Arial" w:hAnsi="Arial" w:cs="Arial"/>
          <w:sz w:val="22"/>
          <w:szCs w:val="22"/>
        </w:rPr>
        <w:t xml:space="preserve">slightly </w:t>
      </w:r>
      <w:r w:rsidRPr="008369D5">
        <w:rPr>
          <w:rFonts w:ascii="Arial" w:hAnsi="Arial" w:cs="Arial"/>
          <w:sz w:val="22"/>
          <w:szCs w:val="22"/>
        </w:rPr>
        <w:t>from 1</w:t>
      </w:r>
      <w:r w:rsidR="00CE4F10" w:rsidRPr="008369D5">
        <w:rPr>
          <w:rFonts w:ascii="Arial" w:hAnsi="Arial" w:cs="Arial"/>
          <w:sz w:val="22"/>
          <w:szCs w:val="22"/>
        </w:rPr>
        <w:t>,</w:t>
      </w:r>
      <w:r w:rsidRPr="008369D5">
        <w:rPr>
          <w:rFonts w:ascii="Arial" w:hAnsi="Arial" w:cs="Arial"/>
          <w:sz w:val="22"/>
          <w:szCs w:val="22"/>
        </w:rPr>
        <w:t>598 to 1</w:t>
      </w:r>
      <w:r w:rsidR="00CE4F10" w:rsidRPr="008369D5">
        <w:rPr>
          <w:rFonts w:ascii="Arial" w:hAnsi="Arial" w:cs="Arial"/>
          <w:sz w:val="22"/>
          <w:szCs w:val="22"/>
        </w:rPr>
        <w:t>,</w:t>
      </w:r>
      <w:r w:rsidRPr="008369D5">
        <w:rPr>
          <w:rFonts w:ascii="Arial" w:hAnsi="Arial" w:cs="Arial"/>
          <w:sz w:val="22"/>
          <w:szCs w:val="22"/>
        </w:rPr>
        <w:t xml:space="preserve">358. </w:t>
      </w:r>
    </w:p>
    <w:p w14:paraId="7A595364" w14:textId="77777777" w:rsidR="008369D5" w:rsidRDefault="008369D5" w:rsidP="00C72AE2">
      <w:pPr>
        <w:rPr>
          <w:rFonts w:ascii="Arial" w:hAnsi="Arial" w:cs="Arial"/>
          <w:sz w:val="22"/>
          <w:szCs w:val="22"/>
        </w:rPr>
      </w:pPr>
    </w:p>
    <w:p w14:paraId="0B2E2961" w14:textId="747D785C" w:rsidR="008369D5" w:rsidRPr="008369D5" w:rsidRDefault="001B5E9B" w:rsidP="00C72AE2">
      <w:pPr>
        <w:rPr>
          <w:rFonts w:ascii="Arial" w:hAnsi="Arial" w:cs="Arial"/>
          <w:sz w:val="22"/>
          <w:szCs w:val="22"/>
          <w:u w:val="single"/>
        </w:rPr>
      </w:pPr>
      <w:r w:rsidRPr="008369D5">
        <w:rPr>
          <w:rFonts w:ascii="Arial" w:hAnsi="Arial" w:cs="Arial"/>
          <w:b/>
          <w:bCs/>
          <w:sz w:val="22"/>
          <w:szCs w:val="22"/>
          <w:u w:val="single"/>
        </w:rPr>
        <w:t>Clinical</w:t>
      </w:r>
    </w:p>
    <w:p w14:paraId="3A0D9A0C" w14:textId="453B2293" w:rsidR="001B5E9B" w:rsidRPr="008369D5" w:rsidRDefault="001B5E9B" w:rsidP="00C72AE2">
      <w:pPr>
        <w:rPr>
          <w:rFonts w:ascii="Arial" w:hAnsi="Arial" w:cs="Arial"/>
          <w:sz w:val="22"/>
          <w:szCs w:val="22"/>
        </w:rPr>
      </w:pPr>
      <w:r w:rsidRPr="008369D5">
        <w:rPr>
          <w:rFonts w:ascii="Arial" w:hAnsi="Arial" w:cs="Arial"/>
          <w:sz w:val="22"/>
          <w:szCs w:val="22"/>
        </w:rPr>
        <w:t>BME representation has increased from 912 to 1</w:t>
      </w:r>
      <w:r w:rsidR="00CE4F10" w:rsidRPr="008369D5">
        <w:rPr>
          <w:rFonts w:ascii="Arial" w:hAnsi="Arial" w:cs="Arial"/>
          <w:sz w:val="22"/>
          <w:szCs w:val="22"/>
        </w:rPr>
        <w:t>,</w:t>
      </w:r>
      <w:r w:rsidRPr="008369D5">
        <w:rPr>
          <w:rFonts w:ascii="Arial" w:hAnsi="Arial" w:cs="Arial"/>
          <w:sz w:val="22"/>
          <w:szCs w:val="22"/>
        </w:rPr>
        <w:t>073, white representation</w:t>
      </w:r>
      <w:r w:rsidR="007E350A">
        <w:rPr>
          <w:rFonts w:ascii="Arial" w:hAnsi="Arial" w:cs="Arial"/>
          <w:sz w:val="22"/>
          <w:szCs w:val="22"/>
        </w:rPr>
        <w:t xml:space="preserve"> </w:t>
      </w:r>
      <w:r w:rsidRPr="008369D5">
        <w:rPr>
          <w:rFonts w:ascii="Arial" w:hAnsi="Arial" w:cs="Arial"/>
          <w:sz w:val="22"/>
          <w:szCs w:val="22"/>
        </w:rPr>
        <w:t>from 3</w:t>
      </w:r>
      <w:r w:rsidR="00CE4F10" w:rsidRPr="008369D5">
        <w:rPr>
          <w:rFonts w:ascii="Arial" w:hAnsi="Arial" w:cs="Arial"/>
          <w:sz w:val="22"/>
          <w:szCs w:val="22"/>
        </w:rPr>
        <w:t>,</w:t>
      </w:r>
      <w:r w:rsidRPr="008369D5">
        <w:rPr>
          <w:rFonts w:ascii="Arial" w:hAnsi="Arial" w:cs="Arial"/>
          <w:sz w:val="22"/>
          <w:szCs w:val="22"/>
        </w:rPr>
        <w:t>597 to 3</w:t>
      </w:r>
      <w:r w:rsidR="00CE4F10" w:rsidRPr="008369D5">
        <w:rPr>
          <w:rFonts w:ascii="Arial" w:hAnsi="Arial" w:cs="Arial"/>
          <w:sz w:val="22"/>
          <w:szCs w:val="22"/>
        </w:rPr>
        <w:t>,</w:t>
      </w:r>
      <w:r w:rsidRPr="008369D5">
        <w:rPr>
          <w:rFonts w:ascii="Arial" w:hAnsi="Arial" w:cs="Arial"/>
          <w:sz w:val="22"/>
          <w:szCs w:val="22"/>
        </w:rPr>
        <w:t xml:space="preserve">703. </w:t>
      </w:r>
    </w:p>
    <w:p w14:paraId="4A52EAAC" w14:textId="795A4F62" w:rsidR="001B5E9B" w:rsidRPr="008369D5" w:rsidRDefault="001B5E9B" w:rsidP="00C72AE2">
      <w:pPr>
        <w:rPr>
          <w:rFonts w:ascii="Arial" w:hAnsi="Arial" w:cs="Arial"/>
          <w:sz w:val="22"/>
          <w:szCs w:val="22"/>
        </w:rPr>
      </w:pPr>
      <w:r w:rsidRPr="008369D5">
        <w:rPr>
          <w:rFonts w:ascii="Arial" w:hAnsi="Arial" w:cs="Arial"/>
          <w:sz w:val="22"/>
          <w:szCs w:val="22"/>
        </w:rPr>
        <w:t>.</w:t>
      </w:r>
    </w:p>
    <w:p w14:paraId="3392A7CA" w14:textId="33B603F9" w:rsidR="00CE4F10" w:rsidRPr="008369D5" w:rsidRDefault="001B5E9B" w:rsidP="00C72AE2">
      <w:pPr>
        <w:rPr>
          <w:rFonts w:ascii="Arial" w:hAnsi="Arial" w:cs="Arial"/>
          <w:sz w:val="22"/>
          <w:szCs w:val="22"/>
        </w:rPr>
      </w:pPr>
      <w:r w:rsidRPr="008369D5">
        <w:rPr>
          <w:rFonts w:ascii="Arial" w:hAnsi="Arial" w:cs="Arial"/>
          <w:sz w:val="22"/>
          <w:szCs w:val="22"/>
        </w:rPr>
        <w:t xml:space="preserve">The number of BME senior leaders (8a+) </w:t>
      </w:r>
      <w:r w:rsidR="00CE4F10" w:rsidRPr="008369D5">
        <w:rPr>
          <w:rFonts w:ascii="Arial" w:hAnsi="Arial" w:cs="Arial"/>
          <w:sz w:val="22"/>
          <w:szCs w:val="22"/>
        </w:rPr>
        <w:t>ha</w:t>
      </w:r>
      <w:r w:rsidR="007E350A">
        <w:rPr>
          <w:rFonts w:ascii="Arial" w:hAnsi="Arial" w:cs="Arial"/>
          <w:sz w:val="22"/>
          <w:szCs w:val="22"/>
        </w:rPr>
        <w:t>s</w:t>
      </w:r>
      <w:r w:rsidR="00CE4F10" w:rsidRPr="008369D5">
        <w:rPr>
          <w:rFonts w:ascii="Arial" w:hAnsi="Arial" w:cs="Arial"/>
          <w:sz w:val="22"/>
          <w:szCs w:val="22"/>
        </w:rPr>
        <w:t xml:space="preserve"> increased</w:t>
      </w:r>
      <w:r w:rsidRPr="008369D5">
        <w:rPr>
          <w:rFonts w:ascii="Arial" w:hAnsi="Arial" w:cs="Arial"/>
          <w:sz w:val="22"/>
          <w:szCs w:val="22"/>
        </w:rPr>
        <w:t xml:space="preserve"> from 30 to 34</w:t>
      </w:r>
      <w:r w:rsidR="007E350A">
        <w:rPr>
          <w:rFonts w:ascii="Arial" w:hAnsi="Arial" w:cs="Arial"/>
          <w:sz w:val="22"/>
          <w:szCs w:val="22"/>
        </w:rPr>
        <w:t xml:space="preserve">, with </w:t>
      </w:r>
      <w:r w:rsidR="00CE4F10" w:rsidRPr="008369D5">
        <w:rPr>
          <w:rFonts w:ascii="Arial" w:hAnsi="Arial" w:cs="Arial"/>
          <w:sz w:val="22"/>
          <w:szCs w:val="22"/>
        </w:rPr>
        <w:t>the highest representation in</w:t>
      </w:r>
      <w:r w:rsidRPr="008369D5">
        <w:rPr>
          <w:rFonts w:ascii="Arial" w:hAnsi="Arial" w:cs="Arial"/>
          <w:sz w:val="22"/>
          <w:szCs w:val="22"/>
        </w:rPr>
        <w:t xml:space="preserve"> bands 8a and 8c. </w:t>
      </w:r>
    </w:p>
    <w:p w14:paraId="4A8DB077" w14:textId="77777777" w:rsidR="00CE4F10" w:rsidRPr="008369D5" w:rsidRDefault="00CE4F10" w:rsidP="00C72AE2">
      <w:pPr>
        <w:rPr>
          <w:rFonts w:ascii="Arial" w:hAnsi="Arial" w:cs="Arial"/>
          <w:sz w:val="22"/>
          <w:szCs w:val="22"/>
        </w:rPr>
      </w:pPr>
    </w:p>
    <w:p w14:paraId="6A01A744" w14:textId="21854222" w:rsidR="001B5E9B" w:rsidRPr="008369D5" w:rsidRDefault="001B5E9B" w:rsidP="00C72AE2">
      <w:pPr>
        <w:rPr>
          <w:rFonts w:ascii="Arial" w:hAnsi="Arial" w:cs="Arial"/>
          <w:sz w:val="22"/>
          <w:szCs w:val="22"/>
        </w:rPr>
      </w:pPr>
      <w:r w:rsidRPr="008369D5">
        <w:rPr>
          <w:rFonts w:ascii="Arial" w:hAnsi="Arial" w:cs="Arial"/>
          <w:sz w:val="22"/>
          <w:szCs w:val="22"/>
        </w:rPr>
        <w:t>There has been a decrease in bands 8b and no change to band</w:t>
      </w:r>
      <w:r w:rsidR="007E350A">
        <w:rPr>
          <w:rFonts w:ascii="Arial" w:hAnsi="Arial" w:cs="Arial"/>
          <w:sz w:val="22"/>
          <w:szCs w:val="22"/>
        </w:rPr>
        <w:t>s</w:t>
      </w:r>
      <w:r w:rsidRPr="008369D5">
        <w:rPr>
          <w:rFonts w:ascii="Arial" w:hAnsi="Arial" w:cs="Arial"/>
          <w:sz w:val="22"/>
          <w:szCs w:val="22"/>
        </w:rPr>
        <w:t xml:space="preserve"> 8d and above.</w:t>
      </w:r>
    </w:p>
    <w:p w14:paraId="45E12F69" w14:textId="11C37D22" w:rsidR="001B5E9B" w:rsidRPr="00FE60A2" w:rsidRDefault="001B5E9B" w:rsidP="00847025">
      <w:pPr>
        <w:pStyle w:val="NoSpacing"/>
        <w:rPr>
          <w:rFonts w:ascii="Arial" w:hAnsi="Arial" w:cs="Arial"/>
          <w:b/>
          <w:bCs/>
          <w:sz w:val="20"/>
        </w:rPr>
      </w:pPr>
    </w:p>
    <w:p w14:paraId="3EB82EA8" w14:textId="3B71E127" w:rsidR="00FE60A2" w:rsidRPr="00FE60A2" w:rsidRDefault="00FE60A2" w:rsidP="00FE60A2">
      <w:pPr>
        <w:pStyle w:val="NoSpacing"/>
        <w:rPr>
          <w:rFonts w:ascii="Arial" w:hAnsi="Arial" w:cs="Arial"/>
          <w:b/>
          <w:bCs/>
          <w:sz w:val="20"/>
        </w:rPr>
      </w:pPr>
      <w:r w:rsidRPr="00FE60A2">
        <w:rPr>
          <w:rFonts w:ascii="Arial" w:hAnsi="Arial" w:cs="Arial"/>
          <w:b/>
          <w:bCs/>
          <w:sz w:val="20"/>
        </w:rPr>
        <w:t>Total BME representation in Band 8a+</w:t>
      </w:r>
    </w:p>
    <w:p w14:paraId="67B51F0D" w14:textId="2A751C9A" w:rsidR="00FE60A2" w:rsidRDefault="00FE60A2" w:rsidP="00FE60A2">
      <w:pPr>
        <w:pStyle w:val="NoSpacing"/>
        <w:rPr>
          <w:rFonts w:ascii="Arial" w:hAnsi="Arial" w:cs="Arial"/>
          <w:sz w:val="20"/>
        </w:rPr>
      </w:pPr>
    </w:p>
    <w:tbl>
      <w:tblPr>
        <w:tblW w:w="3676" w:type="dxa"/>
        <w:tblCellMar>
          <w:left w:w="0" w:type="dxa"/>
          <w:right w:w="0" w:type="dxa"/>
        </w:tblCellMar>
        <w:tblLook w:val="0420" w:firstRow="1" w:lastRow="0" w:firstColumn="0" w:lastColumn="0" w:noHBand="0" w:noVBand="1"/>
      </w:tblPr>
      <w:tblGrid>
        <w:gridCol w:w="799"/>
        <w:gridCol w:w="1534"/>
        <w:gridCol w:w="1343"/>
      </w:tblGrid>
      <w:tr w:rsidR="00FE60A2" w:rsidRPr="00FA065E" w14:paraId="1724C35C" w14:textId="11FE5FE5" w:rsidTr="00FE60A2">
        <w:trPr>
          <w:trHeight w:val="374"/>
        </w:trPr>
        <w:tc>
          <w:tcPr>
            <w:tcW w:w="57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D04FB8E" w14:textId="2DB561DA" w:rsidR="00FE60A2" w:rsidRPr="0025386F" w:rsidRDefault="00FE60A2" w:rsidP="00115024">
            <w:pPr>
              <w:rPr>
                <w:rFonts w:ascii="Calibri" w:eastAsia="Times New Roman" w:hAnsi="Calibri" w:cs="Calibri"/>
                <w:b/>
                <w:bCs/>
                <w:color w:val="FFFFFF" w:themeColor="light1"/>
                <w:kern w:val="24"/>
                <w:szCs w:val="24"/>
              </w:rPr>
            </w:pPr>
            <w:r>
              <w:rPr>
                <w:rFonts w:ascii="Calibri" w:eastAsia="Times New Roman" w:hAnsi="Calibri" w:cs="Calibri"/>
                <w:b/>
                <w:bCs/>
                <w:color w:val="FFFFFF" w:themeColor="light1"/>
                <w:kern w:val="24"/>
                <w:szCs w:val="24"/>
              </w:rPr>
              <w:t>Band</w:t>
            </w:r>
          </w:p>
        </w:tc>
        <w:tc>
          <w:tcPr>
            <w:tcW w:w="1549" w:type="dxa"/>
            <w:tcBorders>
              <w:top w:val="single" w:sz="8" w:space="0" w:color="FFFFFF"/>
              <w:left w:val="single" w:sz="8" w:space="0" w:color="FFFFFF"/>
              <w:bottom w:val="single" w:sz="24" w:space="0" w:color="FFFFFF"/>
              <w:right w:val="single" w:sz="8" w:space="0" w:color="FFFFFF"/>
            </w:tcBorders>
            <w:shd w:val="clear" w:color="auto" w:fill="4472C4"/>
          </w:tcPr>
          <w:p w14:paraId="5EBA2A5E" w14:textId="77777777" w:rsidR="00FE60A2" w:rsidRPr="00FE60A2" w:rsidRDefault="00FE60A2" w:rsidP="00FE60A2">
            <w:pPr>
              <w:rPr>
                <w:rFonts w:ascii="Calibri" w:eastAsia="Times New Roman" w:hAnsi="Calibri" w:cs="Calibri"/>
                <w:b/>
                <w:bCs/>
                <w:color w:val="FFFFFF" w:themeColor="light1"/>
                <w:kern w:val="24"/>
                <w:szCs w:val="24"/>
              </w:rPr>
            </w:pPr>
            <w:r w:rsidRPr="00FE60A2">
              <w:rPr>
                <w:rFonts w:ascii="Calibri" w:eastAsia="Times New Roman" w:hAnsi="Calibri" w:cs="Calibri"/>
                <w:b/>
                <w:bCs/>
                <w:color w:val="FFFFFF" w:themeColor="light1"/>
                <w:kern w:val="24"/>
                <w:szCs w:val="24"/>
              </w:rPr>
              <w:t>Total BME representation in Band 8a+</w:t>
            </w:r>
          </w:p>
          <w:p w14:paraId="73336E8B" w14:textId="708BA651" w:rsidR="00FE60A2" w:rsidRPr="0025386F" w:rsidRDefault="00FE60A2" w:rsidP="00115024">
            <w:pPr>
              <w:rPr>
                <w:rFonts w:ascii="Calibri" w:eastAsia="Times New Roman" w:hAnsi="Calibri" w:cs="Calibri"/>
                <w:b/>
                <w:bCs/>
                <w:color w:val="FFFFFF" w:themeColor="light1"/>
                <w:kern w:val="24"/>
                <w:szCs w:val="24"/>
              </w:rPr>
            </w:pPr>
          </w:p>
        </w:tc>
        <w:tc>
          <w:tcPr>
            <w:tcW w:w="1549" w:type="dxa"/>
            <w:tcBorders>
              <w:top w:val="single" w:sz="8" w:space="0" w:color="FFFFFF"/>
              <w:left w:val="single" w:sz="8" w:space="0" w:color="FFFFFF"/>
              <w:bottom w:val="single" w:sz="24" w:space="0" w:color="FFFFFF"/>
              <w:right w:val="single" w:sz="8" w:space="0" w:color="FFFFFF"/>
            </w:tcBorders>
            <w:shd w:val="clear" w:color="auto" w:fill="4472C4"/>
          </w:tcPr>
          <w:p w14:paraId="66B19C0C" w14:textId="77777777" w:rsidR="00FE60A2" w:rsidRPr="008369D5" w:rsidRDefault="00FE60A2" w:rsidP="00FE60A2">
            <w:pPr>
              <w:rPr>
                <w:rFonts w:ascii="Arial" w:hAnsi="Arial" w:cs="Arial"/>
                <w:b/>
                <w:bCs/>
                <w:sz w:val="22"/>
                <w:szCs w:val="22"/>
              </w:rPr>
            </w:pPr>
          </w:p>
        </w:tc>
      </w:tr>
      <w:tr w:rsidR="00FE60A2" w:rsidRPr="00FA065E" w14:paraId="4485ADE0" w14:textId="46BC599E" w:rsidTr="00FE60A2">
        <w:trPr>
          <w:trHeight w:val="584"/>
        </w:trPr>
        <w:tc>
          <w:tcPr>
            <w:tcW w:w="57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EF93101" w14:textId="59696F22" w:rsidR="00FE60A2" w:rsidRPr="00753D43" w:rsidRDefault="00FE60A2" w:rsidP="00115024">
            <w:pPr>
              <w:rPr>
                <w:rFonts w:ascii="Arial" w:hAnsi="Arial" w:cs="Arial"/>
                <w:sz w:val="22"/>
                <w:szCs w:val="22"/>
              </w:rPr>
            </w:pPr>
            <w:r w:rsidRPr="008369D5">
              <w:rPr>
                <w:rFonts w:ascii="Arial" w:hAnsi="Arial" w:cs="Arial"/>
                <w:sz w:val="20"/>
              </w:rPr>
              <w:t>B8a</w:t>
            </w:r>
          </w:p>
        </w:tc>
        <w:tc>
          <w:tcPr>
            <w:tcW w:w="1549" w:type="dxa"/>
            <w:tcBorders>
              <w:top w:val="single" w:sz="24" w:space="0" w:color="FFFFFF"/>
              <w:left w:val="single" w:sz="8" w:space="0" w:color="FFFFFF"/>
              <w:bottom w:val="single" w:sz="8" w:space="0" w:color="FFFFFF"/>
              <w:right w:val="single" w:sz="8" w:space="0" w:color="FFFFFF"/>
            </w:tcBorders>
            <w:shd w:val="clear" w:color="auto" w:fill="CFD5EA"/>
          </w:tcPr>
          <w:p w14:paraId="28D9BF1E" w14:textId="757FA322" w:rsidR="00FE60A2" w:rsidRPr="00753D43" w:rsidRDefault="00FE60A2" w:rsidP="00115024">
            <w:pPr>
              <w:rPr>
                <w:rFonts w:ascii="Arial" w:hAnsi="Arial" w:cs="Arial"/>
                <w:sz w:val="22"/>
                <w:szCs w:val="22"/>
              </w:rPr>
            </w:pPr>
            <w:r>
              <w:rPr>
                <w:rFonts w:ascii="Arial" w:hAnsi="Arial" w:cs="Arial"/>
                <w:sz w:val="22"/>
                <w:szCs w:val="22"/>
              </w:rPr>
              <w:t>23</w:t>
            </w:r>
          </w:p>
        </w:tc>
        <w:tc>
          <w:tcPr>
            <w:tcW w:w="1549" w:type="dxa"/>
            <w:tcBorders>
              <w:top w:val="single" w:sz="24" w:space="0" w:color="FFFFFF"/>
              <w:left w:val="single" w:sz="8" w:space="0" w:color="FFFFFF"/>
              <w:bottom w:val="single" w:sz="8" w:space="0" w:color="FFFFFF"/>
              <w:right w:val="single" w:sz="8" w:space="0" w:color="FFFFFF"/>
            </w:tcBorders>
            <w:shd w:val="clear" w:color="auto" w:fill="CFD5EA"/>
          </w:tcPr>
          <w:p w14:paraId="42C6D365" w14:textId="2368506B" w:rsidR="00FE60A2" w:rsidRPr="00753D43" w:rsidRDefault="00FE60A2" w:rsidP="00115024">
            <w:pPr>
              <w:rPr>
                <w:rFonts w:ascii="Arial" w:hAnsi="Arial" w:cs="Arial"/>
                <w:sz w:val="22"/>
                <w:szCs w:val="22"/>
              </w:rPr>
            </w:pPr>
            <w:r w:rsidRPr="008369D5">
              <w:rPr>
                <w:rFonts w:ascii="Arial" w:hAnsi="Arial" w:cs="Arial"/>
                <w:sz w:val="20"/>
              </w:rPr>
              <w:t>increase of 4 since 2022.</w:t>
            </w:r>
          </w:p>
        </w:tc>
      </w:tr>
      <w:tr w:rsidR="00FE60A2" w:rsidRPr="00FA065E" w14:paraId="23EFFBD0" w14:textId="60A8B117" w:rsidTr="00FE60A2">
        <w:trPr>
          <w:trHeight w:val="584"/>
        </w:trPr>
        <w:tc>
          <w:tcPr>
            <w:tcW w:w="5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76C4B42" w14:textId="6C7BA742" w:rsidR="00FE60A2" w:rsidRPr="00753D43" w:rsidRDefault="00FE60A2" w:rsidP="00115024">
            <w:pPr>
              <w:rPr>
                <w:rFonts w:ascii="Arial" w:hAnsi="Arial" w:cs="Arial"/>
                <w:sz w:val="22"/>
                <w:szCs w:val="22"/>
              </w:rPr>
            </w:pPr>
            <w:r w:rsidRPr="008369D5">
              <w:rPr>
                <w:rFonts w:ascii="Arial" w:hAnsi="Arial" w:cs="Arial"/>
                <w:sz w:val="20"/>
              </w:rPr>
              <w:t>B8b</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5E1698C7" w14:textId="05954E1F" w:rsidR="00FE60A2" w:rsidRPr="00753D43" w:rsidRDefault="00FE60A2" w:rsidP="00115024">
            <w:pPr>
              <w:rPr>
                <w:rFonts w:ascii="Arial" w:hAnsi="Arial" w:cs="Arial"/>
                <w:sz w:val="22"/>
                <w:szCs w:val="22"/>
              </w:rPr>
            </w:pPr>
            <w:r w:rsidRPr="008369D5">
              <w:rPr>
                <w:rFonts w:ascii="Arial" w:hAnsi="Arial" w:cs="Arial"/>
                <w:sz w:val="20"/>
              </w:rPr>
              <w:t>3</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429EB2AC" w14:textId="3B92F4F1" w:rsidR="00FE60A2" w:rsidRPr="00753D43" w:rsidRDefault="00FE60A2" w:rsidP="00115024">
            <w:pPr>
              <w:rPr>
                <w:rFonts w:ascii="Arial" w:hAnsi="Arial" w:cs="Arial"/>
                <w:sz w:val="22"/>
                <w:szCs w:val="22"/>
              </w:rPr>
            </w:pPr>
            <w:r w:rsidRPr="008369D5">
              <w:rPr>
                <w:rFonts w:ascii="Arial" w:hAnsi="Arial" w:cs="Arial"/>
                <w:sz w:val="20"/>
              </w:rPr>
              <w:t>decrease of 2 since 2022</w:t>
            </w:r>
          </w:p>
        </w:tc>
      </w:tr>
      <w:tr w:rsidR="00FE60A2" w:rsidRPr="00FA065E" w14:paraId="6FC1150E" w14:textId="5D3938DD" w:rsidTr="00FE60A2">
        <w:trPr>
          <w:trHeight w:val="584"/>
        </w:trPr>
        <w:tc>
          <w:tcPr>
            <w:tcW w:w="5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89C1528" w14:textId="2E09B752" w:rsidR="00FE60A2" w:rsidRPr="00753D43" w:rsidRDefault="00FE60A2" w:rsidP="00115024">
            <w:pPr>
              <w:rPr>
                <w:rFonts w:ascii="Arial" w:hAnsi="Arial" w:cs="Arial"/>
                <w:sz w:val="22"/>
                <w:szCs w:val="22"/>
                <w:lang w:eastAsia="en-US"/>
              </w:rPr>
            </w:pPr>
            <w:r w:rsidRPr="008369D5">
              <w:rPr>
                <w:rFonts w:ascii="Arial" w:hAnsi="Arial" w:cs="Arial"/>
                <w:sz w:val="20"/>
              </w:rPr>
              <w:t>B8c</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26504057" w14:textId="45CA8D81" w:rsidR="00FE60A2" w:rsidRPr="0025386F" w:rsidRDefault="00FE60A2" w:rsidP="00115024">
            <w:pPr>
              <w:rPr>
                <w:rFonts w:ascii="Arial" w:eastAsiaTheme="minorHAnsi" w:hAnsi="Arial" w:cs="Arial"/>
                <w:sz w:val="22"/>
                <w:szCs w:val="22"/>
                <w:lang w:eastAsia="en-US"/>
              </w:rPr>
            </w:pPr>
            <w:r>
              <w:rPr>
                <w:rFonts w:ascii="Arial" w:eastAsiaTheme="minorHAnsi" w:hAnsi="Arial" w:cs="Arial"/>
                <w:sz w:val="22"/>
                <w:szCs w:val="22"/>
                <w:lang w:eastAsia="en-US"/>
              </w:rPr>
              <w:t>5</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774761F4" w14:textId="54719168" w:rsidR="00FE60A2" w:rsidRPr="0025386F" w:rsidRDefault="00FE60A2" w:rsidP="00115024">
            <w:pPr>
              <w:rPr>
                <w:rFonts w:ascii="Arial" w:eastAsiaTheme="minorHAnsi" w:hAnsi="Arial" w:cs="Arial"/>
                <w:sz w:val="22"/>
                <w:szCs w:val="22"/>
                <w:lang w:eastAsia="en-US"/>
              </w:rPr>
            </w:pPr>
            <w:r w:rsidRPr="008369D5">
              <w:rPr>
                <w:rFonts w:ascii="Arial" w:hAnsi="Arial" w:cs="Arial"/>
                <w:sz w:val="20"/>
              </w:rPr>
              <w:t>increase of 1 since 2022</w:t>
            </w:r>
          </w:p>
        </w:tc>
      </w:tr>
      <w:tr w:rsidR="00FE60A2" w:rsidRPr="00FA065E" w14:paraId="7E6395A2" w14:textId="0885CE85" w:rsidTr="00FE60A2">
        <w:trPr>
          <w:trHeight w:val="584"/>
        </w:trPr>
        <w:tc>
          <w:tcPr>
            <w:tcW w:w="5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D51B6EA" w14:textId="5AEC79B3" w:rsidR="00FE60A2" w:rsidRPr="00753D43" w:rsidRDefault="00FE60A2" w:rsidP="00115024">
            <w:pPr>
              <w:rPr>
                <w:rFonts w:ascii="Arial" w:hAnsi="Arial" w:cs="Arial"/>
                <w:sz w:val="22"/>
                <w:szCs w:val="22"/>
                <w:lang w:eastAsia="en-US"/>
              </w:rPr>
            </w:pPr>
            <w:r>
              <w:rPr>
                <w:rFonts w:ascii="Arial" w:hAnsi="Arial" w:cs="Arial"/>
                <w:sz w:val="22"/>
                <w:szCs w:val="22"/>
                <w:lang w:eastAsia="en-US"/>
              </w:rPr>
              <w:t>8d</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22E32087" w14:textId="5C9B58DD" w:rsidR="00FE60A2" w:rsidRPr="00753D43" w:rsidRDefault="00FE60A2" w:rsidP="00115024">
            <w:pPr>
              <w:pStyle w:val="NoSpacing"/>
              <w:rPr>
                <w:rFonts w:ascii="Arial" w:hAnsi="Arial" w:cs="Arial"/>
                <w:sz w:val="22"/>
                <w:szCs w:val="22"/>
                <w:lang w:eastAsia="en-US"/>
              </w:rPr>
            </w:pPr>
            <w:r>
              <w:rPr>
                <w:rFonts w:ascii="Arial" w:hAnsi="Arial" w:cs="Arial"/>
                <w:sz w:val="22"/>
                <w:szCs w:val="22"/>
                <w:lang w:eastAsia="en-US"/>
              </w:rPr>
              <w:t>2</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105087FB" w14:textId="2BE2B0D8" w:rsidR="00FE60A2" w:rsidRPr="00753D43" w:rsidRDefault="00FE60A2" w:rsidP="00115024">
            <w:pPr>
              <w:pStyle w:val="NoSpacing"/>
              <w:rPr>
                <w:rFonts w:ascii="Arial" w:hAnsi="Arial" w:cs="Arial"/>
                <w:sz w:val="22"/>
                <w:szCs w:val="22"/>
                <w:lang w:eastAsia="en-US"/>
              </w:rPr>
            </w:pPr>
            <w:r w:rsidRPr="008369D5">
              <w:rPr>
                <w:rFonts w:ascii="Arial" w:hAnsi="Arial" w:cs="Arial"/>
                <w:sz w:val="20"/>
              </w:rPr>
              <w:t>No change to the previous year’s data</w:t>
            </w:r>
          </w:p>
        </w:tc>
      </w:tr>
      <w:tr w:rsidR="00FE60A2" w:rsidRPr="00FA065E" w14:paraId="026A8F56" w14:textId="7C7D5C7B" w:rsidTr="00FE60A2">
        <w:trPr>
          <w:trHeight w:val="584"/>
        </w:trPr>
        <w:tc>
          <w:tcPr>
            <w:tcW w:w="5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D7069B4" w14:textId="1C6BBFDC" w:rsidR="00FE60A2" w:rsidRPr="00753D43" w:rsidRDefault="00FE60A2" w:rsidP="00115024">
            <w:pPr>
              <w:rPr>
                <w:rFonts w:ascii="Arial" w:hAnsi="Arial" w:cs="Arial"/>
                <w:sz w:val="22"/>
                <w:szCs w:val="22"/>
                <w:lang w:eastAsia="en-US"/>
              </w:rPr>
            </w:pPr>
            <w:r>
              <w:rPr>
                <w:rFonts w:ascii="Arial" w:hAnsi="Arial" w:cs="Arial"/>
                <w:sz w:val="22"/>
                <w:szCs w:val="22"/>
                <w:lang w:eastAsia="en-US"/>
              </w:rPr>
              <w:t>B9</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6C93EFFC" w14:textId="4EACF991" w:rsidR="00FE60A2" w:rsidRPr="00753D43" w:rsidRDefault="00FE60A2" w:rsidP="00115024">
            <w:pPr>
              <w:pStyle w:val="NoSpacing"/>
              <w:rPr>
                <w:rFonts w:ascii="Arial" w:hAnsi="Arial" w:cs="Arial"/>
                <w:sz w:val="22"/>
                <w:szCs w:val="22"/>
                <w:lang w:eastAsia="en-US"/>
              </w:rPr>
            </w:pPr>
            <w:r>
              <w:rPr>
                <w:rFonts w:ascii="Arial" w:hAnsi="Arial" w:cs="Arial"/>
                <w:sz w:val="22"/>
                <w:szCs w:val="22"/>
                <w:lang w:eastAsia="en-US"/>
              </w:rPr>
              <w:t>0</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7051D2A4" w14:textId="409D3519" w:rsidR="00FE60A2" w:rsidRPr="00753D43" w:rsidRDefault="00FE60A2" w:rsidP="00115024">
            <w:pPr>
              <w:pStyle w:val="NoSpacing"/>
              <w:rPr>
                <w:rFonts w:ascii="Arial" w:hAnsi="Arial" w:cs="Arial"/>
                <w:sz w:val="22"/>
                <w:szCs w:val="22"/>
                <w:lang w:eastAsia="en-US"/>
              </w:rPr>
            </w:pPr>
            <w:r w:rsidRPr="008369D5">
              <w:rPr>
                <w:rFonts w:ascii="Arial" w:hAnsi="Arial" w:cs="Arial"/>
                <w:sz w:val="20"/>
              </w:rPr>
              <w:t>No change to the previous year’s data</w:t>
            </w:r>
          </w:p>
        </w:tc>
      </w:tr>
      <w:tr w:rsidR="00FE60A2" w:rsidRPr="00FA065E" w14:paraId="21C54048" w14:textId="0E0AD671" w:rsidTr="00FE60A2">
        <w:trPr>
          <w:trHeight w:val="360"/>
        </w:trPr>
        <w:tc>
          <w:tcPr>
            <w:tcW w:w="5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D09823A" w14:textId="1ECDEA1F" w:rsidR="00FE60A2" w:rsidRPr="00753D43" w:rsidRDefault="00FE60A2" w:rsidP="00115024">
            <w:pPr>
              <w:rPr>
                <w:rFonts w:ascii="Arial" w:hAnsi="Arial" w:cs="Arial"/>
                <w:sz w:val="22"/>
                <w:szCs w:val="22"/>
                <w:lang w:eastAsia="en-US"/>
              </w:rPr>
            </w:pPr>
            <w:r>
              <w:rPr>
                <w:rFonts w:ascii="Arial" w:hAnsi="Arial" w:cs="Arial"/>
                <w:sz w:val="22"/>
                <w:szCs w:val="22"/>
                <w:lang w:eastAsia="en-US"/>
              </w:rPr>
              <w:t>VSM</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00D5B674" w14:textId="5CEEFD00" w:rsidR="00FE60A2" w:rsidRPr="00753D43" w:rsidRDefault="00FE60A2" w:rsidP="00115024">
            <w:pPr>
              <w:pStyle w:val="NoSpacing"/>
              <w:rPr>
                <w:rFonts w:ascii="Arial" w:hAnsi="Arial" w:cs="Arial"/>
                <w:sz w:val="22"/>
                <w:szCs w:val="22"/>
                <w:lang w:eastAsia="en-US"/>
              </w:rPr>
            </w:pPr>
            <w:r>
              <w:rPr>
                <w:rFonts w:ascii="Arial" w:hAnsi="Arial" w:cs="Arial"/>
                <w:sz w:val="22"/>
                <w:szCs w:val="22"/>
                <w:lang w:eastAsia="en-US"/>
              </w:rPr>
              <w:t>1</w:t>
            </w:r>
          </w:p>
        </w:tc>
        <w:tc>
          <w:tcPr>
            <w:tcW w:w="1549" w:type="dxa"/>
            <w:tcBorders>
              <w:top w:val="single" w:sz="8" w:space="0" w:color="FFFFFF"/>
              <w:left w:val="single" w:sz="8" w:space="0" w:color="FFFFFF"/>
              <w:bottom w:val="single" w:sz="8" w:space="0" w:color="FFFFFF"/>
              <w:right w:val="single" w:sz="8" w:space="0" w:color="FFFFFF"/>
            </w:tcBorders>
            <w:shd w:val="clear" w:color="auto" w:fill="E9EBF5"/>
          </w:tcPr>
          <w:p w14:paraId="50D16014" w14:textId="793CE473" w:rsidR="00FE60A2" w:rsidRPr="00753D43" w:rsidRDefault="00FE60A2" w:rsidP="00115024">
            <w:pPr>
              <w:pStyle w:val="NoSpacing"/>
              <w:rPr>
                <w:rFonts w:ascii="Arial" w:hAnsi="Arial" w:cs="Arial"/>
                <w:sz w:val="22"/>
                <w:szCs w:val="22"/>
                <w:lang w:eastAsia="en-US"/>
              </w:rPr>
            </w:pPr>
            <w:r w:rsidRPr="00753D43">
              <w:rPr>
                <w:rFonts w:ascii="Arial" w:hAnsi="Arial" w:cs="Arial"/>
                <w:sz w:val="20"/>
              </w:rPr>
              <w:t>No change to the previous year’s data</w:t>
            </w:r>
          </w:p>
        </w:tc>
      </w:tr>
    </w:tbl>
    <w:p w14:paraId="69D7027B" w14:textId="78870DE9" w:rsidR="00FE60A2" w:rsidRDefault="00FE60A2" w:rsidP="00FE60A2">
      <w:pPr>
        <w:pStyle w:val="NoSpacing"/>
        <w:rPr>
          <w:rFonts w:ascii="Arial" w:hAnsi="Arial" w:cs="Arial"/>
          <w:sz w:val="20"/>
        </w:rPr>
      </w:pPr>
    </w:p>
    <w:p w14:paraId="3904BAEA" w14:textId="77E1C47A" w:rsidR="001B5E9B" w:rsidRDefault="001B5E9B" w:rsidP="00847025">
      <w:pPr>
        <w:pStyle w:val="NoSpacing"/>
        <w:rPr>
          <w:rFonts w:ascii="Arial" w:hAnsi="Arial" w:cs="Arial"/>
          <w:highlight w:val="yellow"/>
        </w:rPr>
      </w:pPr>
    </w:p>
    <w:p w14:paraId="2B3B6286" w14:textId="19A0A3DC" w:rsidR="00853864" w:rsidRDefault="00853864" w:rsidP="001B5E9B">
      <w:pPr>
        <w:pStyle w:val="NoSpacing"/>
        <w:ind w:left="360"/>
        <w:rPr>
          <w:rFonts w:ascii="Arial" w:hAnsi="Arial" w:cs="Arial"/>
          <w:highlight w:val="yellow"/>
        </w:rPr>
      </w:pPr>
    </w:p>
    <w:tbl>
      <w:tblPr>
        <w:tblW w:w="10786" w:type="dxa"/>
        <w:tblInd w:w="-152" w:type="dxa"/>
        <w:tblLayout w:type="fixed"/>
        <w:tblCellMar>
          <w:left w:w="0" w:type="dxa"/>
          <w:right w:w="0" w:type="dxa"/>
        </w:tblCellMar>
        <w:tblLook w:val="0420" w:firstRow="1" w:lastRow="0" w:firstColumn="0" w:lastColumn="0" w:noHBand="0" w:noVBand="1"/>
      </w:tblPr>
      <w:tblGrid>
        <w:gridCol w:w="2935"/>
        <w:gridCol w:w="2889"/>
        <w:gridCol w:w="1654"/>
        <w:gridCol w:w="1654"/>
        <w:gridCol w:w="1654"/>
      </w:tblGrid>
      <w:tr w:rsidR="001B5E9B" w:rsidRPr="00FA065E" w14:paraId="18CB7D64" w14:textId="77777777" w:rsidTr="009334B6">
        <w:trPr>
          <w:trHeight w:val="584"/>
        </w:trPr>
        <w:tc>
          <w:tcPr>
            <w:tcW w:w="293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2629D40"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2</w:t>
            </w:r>
          </w:p>
        </w:tc>
        <w:tc>
          <w:tcPr>
            <w:tcW w:w="288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C37A0FA"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Data Item</w:t>
            </w:r>
          </w:p>
        </w:tc>
        <w:tc>
          <w:tcPr>
            <w:tcW w:w="16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D27730F"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White</w:t>
            </w:r>
          </w:p>
        </w:tc>
        <w:tc>
          <w:tcPr>
            <w:tcW w:w="16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75D0EE"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BME</w:t>
            </w:r>
          </w:p>
        </w:tc>
        <w:tc>
          <w:tcPr>
            <w:tcW w:w="16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BDD0310"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Ethnicity Unknown/Null</w:t>
            </w:r>
          </w:p>
        </w:tc>
      </w:tr>
      <w:tr w:rsidR="001B5E9B" w:rsidRPr="00FA065E" w14:paraId="77C13E68" w14:textId="77777777" w:rsidTr="009334B6">
        <w:trPr>
          <w:trHeight w:val="584"/>
        </w:trPr>
        <w:tc>
          <w:tcPr>
            <w:tcW w:w="2935"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96337A" w14:textId="77777777" w:rsidR="001B5E9B" w:rsidRPr="006B1CC8" w:rsidRDefault="001B5E9B" w:rsidP="00402A38">
            <w:pPr>
              <w:rPr>
                <w:rFonts w:ascii="Arial" w:eastAsia="Times New Roman" w:hAnsi="Arial" w:cs="Arial"/>
                <w:sz w:val="36"/>
                <w:szCs w:val="36"/>
              </w:rPr>
            </w:pPr>
            <w:r w:rsidRPr="006B1CC8">
              <w:rPr>
                <w:rFonts w:ascii="Arial" w:eastAsia="Times New Roman" w:hAnsi="Arial" w:cs="Arial"/>
                <w:b/>
                <w:bCs/>
                <w:color w:val="000000" w:themeColor="dark1"/>
                <w:kern w:val="24"/>
                <w:szCs w:val="24"/>
              </w:rPr>
              <w:t>2) Relative likelihood of staff being appointed from shortlisting across all posts</w:t>
            </w:r>
          </w:p>
        </w:tc>
        <w:tc>
          <w:tcPr>
            <w:tcW w:w="288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41BA79"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Number of shortlisted applicants</w:t>
            </w:r>
          </w:p>
        </w:tc>
        <w:tc>
          <w:tcPr>
            <w:tcW w:w="16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9B5DB2"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3709</w:t>
            </w:r>
          </w:p>
        </w:tc>
        <w:tc>
          <w:tcPr>
            <w:tcW w:w="16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1662FCF"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1698</w:t>
            </w:r>
          </w:p>
        </w:tc>
        <w:tc>
          <w:tcPr>
            <w:tcW w:w="16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844F03E"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68</w:t>
            </w:r>
          </w:p>
        </w:tc>
      </w:tr>
      <w:tr w:rsidR="001B5E9B" w:rsidRPr="00FA065E" w14:paraId="0A71BF98" w14:textId="77777777" w:rsidTr="009334B6">
        <w:trPr>
          <w:trHeight w:val="584"/>
        </w:trPr>
        <w:tc>
          <w:tcPr>
            <w:tcW w:w="2935" w:type="dxa"/>
            <w:vMerge/>
            <w:tcBorders>
              <w:top w:val="single" w:sz="24" w:space="0" w:color="FFFFFF"/>
              <w:left w:val="single" w:sz="8" w:space="0" w:color="FFFFFF"/>
              <w:bottom w:val="single" w:sz="8" w:space="0" w:color="FFFFFF"/>
              <w:right w:val="single" w:sz="8" w:space="0" w:color="FFFFFF"/>
            </w:tcBorders>
            <w:vAlign w:val="center"/>
            <w:hideMark/>
          </w:tcPr>
          <w:p w14:paraId="4B840B59" w14:textId="77777777" w:rsidR="001B5E9B" w:rsidRPr="006B1CC8" w:rsidRDefault="001B5E9B" w:rsidP="00402A38">
            <w:pPr>
              <w:rPr>
                <w:rFonts w:ascii="Arial" w:eastAsia="Times New Roman" w:hAnsi="Arial" w:cs="Arial"/>
                <w:sz w:val="36"/>
                <w:szCs w:val="36"/>
              </w:rPr>
            </w:pPr>
          </w:p>
        </w:tc>
        <w:tc>
          <w:tcPr>
            <w:tcW w:w="28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3B44102"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Number appointed from shortlisting</w:t>
            </w: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2E9DE0"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1001</w:t>
            </w: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86B8465"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313</w:t>
            </w: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C317B8"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11</w:t>
            </w:r>
          </w:p>
        </w:tc>
      </w:tr>
      <w:tr w:rsidR="001B5E9B" w:rsidRPr="00FA065E" w14:paraId="6857A7A7" w14:textId="77777777" w:rsidTr="009334B6">
        <w:trPr>
          <w:trHeight w:val="584"/>
        </w:trPr>
        <w:tc>
          <w:tcPr>
            <w:tcW w:w="2935" w:type="dxa"/>
            <w:vMerge/>
            <w:tcBorders>
              <w:top w:val="single" w:sz="24" w:space="0" w:color="FFFFFF"/>
              <w:left w:val="single" w:sz="8" w:space="0" w:color="FFFFFF"/>
              <w:bottom w:val="single" w:sz="8" w:space="0" w:color="FFFFFF"/>
              <w:right w:val="single" w:sz="8" w:space="0" w:color="FFFFFF"/>
            </w:tcBorders>
            <w:vAlign w:val="center"/>
            <w:hideMark/>
          </w:tcPr>
          <w:p w14:paraId="48CFE437" w14:textId="77777777" w:rsidR="001B5E9B" w:rsidRPr="006B1CC8" w:rsidRDefault="001B5E9B" w:rsidP="00402A38">
            <w:pPr>
              <w:rPr>
                <w:rFonts w:ascii="Arial" w:eastAsia="Times New Roman" w:hAnsi="Arial" w:cs="Arial"/>
                <w:sz w:val="36"/>
                <w:szCs w:val="36"/>
              </w:rPr>
            </w:pPr>
          </w:p>
        </w:tc>
        <w:tc>
          <w:tcPr>
            <w:tcW w:w="288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72DC15"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appointment from shortlisting</w:t>
            </w:r>
          </w:p>
        </w:tc>
        <w:tc>
          <w:tcPr>
            <w:tcW w:w="16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72041E"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26.99%</w:t>
            </w:r>
          </w:p>
        </w:tc>
        <w:tc>
          <w:tcPr>
            <w:tcW w:w="16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14E1B7"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18.43%</w:t>
            </w:r>
          </w:p>
        </w:tc>
        <w:tc>
          <w:tcPr>
            <w:tcW w:w="16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241C1F"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16.18%</w:t>
            </w:r>
          </w:p>
        </w:tc>
      </w:tr>
      <w:tr w:rsidR="001B5E9B" w:rsidRPr="00FA065E" w14:paraId="162F56AF" w14:textId="77777777" w:rsidTr="009334B6">
        <w:trPr>
          <w:trHeight w:val="584"/>
        </w:trPr>
        <w:tc>
          <w:tcPr>
            <w:tcW w:w="2935" w:type="dxa"/>
            <w:vMerge/>
            <w:tcBorders>
              <w:top w:val="single" w:sz="24" w:space="0" w:color="FFFFFF"/>
              <w:left w:val="single" w:sz="8" w:space="0" w:color="FFFFFF"/>
              <w:bottom w:val="single" w:sz="8" w:space="0" w:color="FFFFFF"/>
              <w:right w:val="single" w:sz="8" w:space="0" w:color="FFFFFF"/>
            </w:tcBorders>
            <w:vAlign w:val="center"/>
            <w:hideMark/>
          </w:tcPr>
          <w:p w14:paraId="05C79C12" w14:textId="77777777" w:rsidR="001B5E9B" w:rsidRPr="006B1CC8" w:rsidRDefault="001B5E9B" w:rsidP="00402A38">
            <w:pPr>
              <w:rPr>
                <w:rFonts w:ascii="Arial" w:eastAsia="Times New Roman" w:hAnsi="Arial" w:cs="Arial"/>
                <w:sz w:val="36"/>
                <w:szCs w:val="36"/>
              </w:rPr>
            </w:pPr>
          </w:p>
        </w:tc>
        <w:tc>
          <w:tcPr>
            <w:tcW w:w="28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BB0F51"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White staff being appointed from shortlisting compared to BME staff</w:t>
            </w: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4779C9" w14:textId="77777777" w:rsidR="001B5E9B" w:rsidRPr="00753D43" w:rsidRDefault="001B5E9B" w:rsidP="00402A38">
            <w:pPr>
              <w:jc w:val="center"/>
              <w:rPr>
                <w:rFonts w:ascii="Arial" w:eastAsia="Times New Roman" w:hAnsi="Arial" w:cs="Arial"/>
                <w:sz w:val="22"/>
                <w:szCs w:val="22"/>
              </w:rPr>
            </w:pPr>
            <w:r w:rsidRPr="00753D43">
              <w:rPr>
                <w:rFonts w:ascii="Arial" w:eastAsia="Times New Roman" w:hAnsi="Arial" w:cs="Arial"/>
                <w:color w:val="000000" w:themeColor="dark1"/>
                <w:kern w:val="24"/>
                <w:sz w:val="22"/>
                <w:szCs w:val="22"/>
              </w:rPr>
              <w:t>1.46</w:t>
            </w: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17C1F3" w14:textId="77777777" w:rsidR="001B5E9B" w:rsidRPr="00753D43" w:rsidRDefault="001B5E9B" w:rsidP="00402A38">
            <w:pPr>
              <w:jc w:val="center"/>
              <w:rPr>
                <w:rFonts w:ascii="Arial" w:eastAsia="Times New Roman" w:hAnsi="Arial" w:cs="Arial"/>
                <w:sz w:val="22"/>
                <w:szCs w:val="22"/>
              </w:rPr>
            </w:pPr>
          </w:p>
        </w:tc>
        <w:tc>
          <w:tcPr>
            <w:tcW w:w="16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B786E61" w14:textId="77777777" w:rsidR="001B5E9B" w:rsidRPr="00753D43" w:rsidRDefault="001B5E9B" w:rsidP="00402A38">
            <w:pPr>
              <w:jc w:val="center"/>
              <w:rPr>
                <w:rFonts w:ascii="Arial" w:eastAsia="Times New Roman" w:hAnsi="Arial" w:cs="Arial"/>
                <w:sz w:val="22"/>
                <w:szCs w:val="22"/>
              </w:rPr>
            </w:pPr>
          </w:p>
        </w:tc>
      </w:tr>
    </w:tbl>
    <w:p w14:paraId="5645D732" w14:textId="098FADD2" w:rsidR="00CE4F10" w:rsidRPr="008369D5" w:rsidRDefault="00CE4F10" w:rsidP="00C72AE2">
      <w:pPr>
        <w:pStyle w:val="NoSpacing"/>
        <w:rPr>
          <w:rFonts w:ascii="Arial" w:hAnsi="Arial" w:cs="Arial"/>
          <w:sz w:val="22"/>
          <w:szCs w:val="22"/>
        </w:rPr>
      </w:pPr>
      <w:r w:rsidRPr="008369D5">
        <w:rPr>
          <w:rFonts w:ascii="Arial" w:hAnsi="Arial" w:cs="Arial"/>
          <w:sz w:val="22"/>
          <w:szCs w:val="22"/>
        </w:rPr>
        <w:lastRenderedPageBreak/>
        <w:t xml:space="preserve">A figure above 1 indicates that BME staff are more likely </w:t>
      </w:r>
      <w:r w:rsidR="007E350A">
        <w:rPr>
          <w:rFonts w:ascii="Arial" w:hAnsi="Arial" w:cs="Arial"/>
          <w:sz w:val="22"/>
          <w:szCs w:val="22"/>
        </w:rPr>
        <w:t>to be</w:t>
      </w:r>
      <w:r w:rsidRPr="008369D5">
        <w:rPr>
          <w:rFonts w:ascii="Arial" w:hAnsi="Arial" w:cs="Arial"/>
          <w:sz w:val="22"/>
          <w:szCs w:val="22"/>
        </w:rPr>
        <w:t xml:space="preserve"> appointed from shortlisting compared to white staff</w:t>
      </w:r>
    </w:p>
    <w:p w14:paraId="1E91303A" w14:textId="77777777" w:rsidR="00CE4F10" w:rsidRPr="008369D5" w:rsidRDefault="00CE4F10" w:rsidP="00C72AE2">
      <w:pPr>
        <w:pStyle w:val="NoSpacing"/>
        <w:rPr>
          <w:rFonts w:ascii="Arial" w:hAnsi="Arial" w:cs="Arial"/>
          <w:sz w:val="22"/>
          <w:szCs w:val="22"/>
        </w:rPr>
      </w:pPr>
    </w:p>
    <w:p w14:paraId="05518E64" w14:textId="77777777" w:rsidR="00092DC4" w:rsidRDefault="00092DC4" w:rsidP="00C72AE2">
      <w:pPr>
        <w:rPr>
          <w:rFonts w:ascii="Arial" w:eastAsiaTheme="minorHAnsi" w:hAnsi="Arial" w:cs="Arial"/>
          <w:sz w:val="22"/>
          <w:szCs w:val="22"/>
          <w:lang w:eastAsia="en-US"/>
        </w:rPr>
      </w:pPr>
      <w:bookmarkStart w:id="4" w:name="_Hlk138682847"/>
    </w:p>
    <w:p w14:paraId="5D681BC7" w14:textId="3849E135" w:rsidR="00CE4F10" w:rsidRPr="008369D5" w:rsidRDefault="00CE4F10" w:rsidP="00C72AE2">
      <w:pPr>
        <w:rPr>
          <w:rFonts w:ascii="Arial" w:eastAsiaTheme="minorHAnsi" w:hAnsi="Arial" w:cs="Arial"/>
          <w:sz w:val="22"/>
          <w:szCs w:val="22"/>
          <w:lang w:eastAsia="en-US"/>
        </w:rPr>
      </w:pPr>
      <w:r w:rsidRPr="008369D5">
        <w:rPr>
          <w:rFonts w:ascii="Arial" w:eastAsiaTheme="minorHAnsi" w:hAnsi="Arial" w:cs="Arial"/>
          <w:sz w:val="22"/>
          <w:szCs w:val="22"/>
          <w:lang w:eastAsia="en-US"/>
        </w:rPr>
        <w:t xml:space="preserve">Relative likelihood of white candidates being appointed from shortlisting compared to BME applicants, the rate for 2023 is 1.46, this is consistent with last </w:t>
      </w:r>
      <w:r w:rsidRPr="00753D43">
        <w:rPr>
          <w:rFonts w:ascii="Arial" w:eastAsiaTheme="minorHAnsi" w:hAnsi="Arial" w:cs="Arial"/>
          <w:sz w:val="22"/>
          <w:szCs w:val="22"/>
          <w:lang w:eastAsia="en-US"/>
        </w:rPr>
        <w:t>year (1.49)</w:t>
      </w:r>
    </w:p>
    <w:p w14:paraId="2F310276" w14:textId="77777777" w:rsidR="00CE4F10" w:rsidRPr="008369D5" w:rsidRDefault="00CE4F10" w:rsidP="00C72AE2">
      <w:pPr>
        <w:rPr>
          <w:rFonts w:ascii="Arial" w:eastAsia="Times New Roman" w:hAnsi="Arial" w:cs="Arial"/>
          <w:sz w:val="22"/>
          <w:szCs w:val="22"/>
        </w:rPr>
      </w:pPr>
    </w:p>
    <w:p w14:paraId="328D7971" w14:textId="65BD6DFA" w:rsidR="001B5E9B" w:rsidRPr="00CE4F10" w:rsidRDefault="00CE4F10" w:rsidP="00C72AE2">
      <w:pPr>
        <w:rPr>
          <w:rFonts w:ascii="Arial" w:eastAsiaTheme="minorHAnsi" w:hAnsi="Arial" w:cs="Arial"/>
          <w:szCs w:val="24"/>
          <w:lang w:eastAsia="en-US"/>
        </w:rPr>
      </w:pPr>
      <w:r w:rsidRPr="008369D5">
        <w:rPr>
          <w:rFonts w:ascii="Arial" w:eastAsia="Times New Roman" w:hAnsi="Arial" w:cs="Arial"/>
          <w:sz w:val="22"/>
          <w:szCs w:val="22"/>
        </w:rPr>
        <w:t>Likelihood</w:t>
      </w:r>
      <w:r w:rsidR="001B5E9B" w:rsidRPr="008369D5">
        <w:rPr>
          <w:rFonts w:ascii="Arial" w:eastAsia="Times New Roman" w:hAnsi="Arial" w:cs="Arial"/>
          <w:sz w:val="22"/>
          <w:szCs w:val="22"/>
        </w:rPr>
        <w:t xml:space="preserve"> of White staff being appointed from shortlisting compared to BME staff has increased by 0.17 from the previous year</w:t>
      </w:r>
      <w:r w:rsidR="001B5E9B" w:rsidRPr="00CE4F10">
        <w:rPr>
          <w:rFonts w:ascii="Arial" w:eastAsiaTheme="minorHAnsi" w:hAnsi="Arial" w:cs="Arial"/>
          <w:szCs w:val="24"/>
          <w:lang w:eastAsia="en-US"/>
        </w:rPr>
        <w:t>.</w:t>
      </w:r>
    </w:p>
    <w:p w14:paraId="2C2A9B71" w14:textId="799A193C" w:rsidR="00CE4F10" w:rsidRPr="00CE4F10" w:rsidRDefault="00CE4F10" w:rsidP="001B5E9B">
      <w:pPr>
        <w:rPr>
          <w:rFonts w:ascii="Arial" w:eastAsiaTheme="minorHAnsi" w:hAnsi="Arial" w:cs="Arial"/>
          <w:szCs w:val="24"/>
          <w:lang w:eastAsia="en-US"/>
        </w:rPr>
      </w:pPr>
    </w:p>
    <w:tbl>
      <w:tblPr>
        <w:tblW w:w="10634" w:type="dxa"/>
        <w:tblLayout w:type="fixed"/>
        <w:tblCellMar>
          <w:left w:w="0" w:type="dxa"/>
          <w:right w:w="0" w:type="dxa"/>
        </w:tblCellMar>
        <w:tblLook w:val="0420" w:firstRow="1" w:lastRow="0" w:firstColumn="0" w:lastColumn="0" w:noHBand="0" w:noVBand="1"/>
      </w:tblPr>
      <w:tblGrid>
        <w:gridCol w:w="2854"/>
        <w:gridCol w:w="2880"/>
        <w:gridCol w:w="1633"/>
        <w:gridCol w:w="1633"/>
        <w:gridCol w:w="1634"/>
      </w:tblGrid>
      <w:tr w:rsidR="001B5E9B" w:rsidRPr="00FA065E" w14:paraId="6285858F" w14:textId="77777777" w:rsidTr="001B5E9B">
        <w:trPr>
          <w:trHeight w:val="584"/>
        </w:trPr>
        <w:tc>
          <w:tcPr>
            <w:tcW w:w="28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bookmarkEnd w:id="4"/>
          <w:p w14:paraId="515E00E6"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3</w:t>
            </w:r>
          </w:p>
        </w:tc>
        <w:tc>
          <w:tcPr>
            <w:tcW w:w="28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E554F73"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Data Item</w:t>
            </w:r>
          </w:p>
        </w:tc>
        <w:tc>
          <w:tcPr>
            <w:tcW w:w="163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9D5A4BA"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White</w:t>
            </w:r>
          </w:p>
        </w:tc>
        <w:tc>
          <w:tcPr>
            <w:tcW w:w="163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41D4505"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BME</w:t>
            </w:r>
          </w:p>
        </w:tc>
        <w:tc>
          <w:tcPr>
            <w:tcW w:w="163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1ED954E" w14:textId="77777777" w:rsidR="001B5E9B" w:rsidRPr="00FA065E" w:rsidRDefault="001B5E9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Ethnicity Unknown/Null</w:t>
            </w:r>
          </w:p>
        </w:tc>
      </w:tr>
      <w:tr w:rsidR="001B5E9B" w:rsidRPr="00FA065E" w14:paraId="37C36D97" w14:textId="77777777" w:rsidTr="001B5E9B">
        <w:trPr>
          <w:trHeight w:val="584"/>
        </w:trPr>
        <w:tc>
          <w:tcPr>
            <w:tcW w:w="2854"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61AFF1" w14:textId="77777777" w:rsidR="001B5E9B" w:rsidRPr="00A47686" w:rsidRDefault="001B5E9B" w:rsidP="00402A38">
            <w:pPr>
              <w:rPr>
                <w:rFonts w:ascii="Arial" w:eastAsia="Times New Roman" w:hAnsi="Arial" w:cs="Arial"/>
                <w:sz w:val="36"/>
                <w:szCs w:val="36"/>
              </w:rPr>
            </w:pPr>
            <w:r w:rsidRPr="00A47686">
              <w:rPr>
                <w:rFonts w:ascii="Arial" w:eastAsia="Times New Roman" w:hAnsi="Arial" w:cs="Arial"/>
                <w:b/>
                <w:bCs/>
                <w:color w:val="000000" w:themeColor="dark1"/>
                <w:kern w:val="24"/>
                <w:szCs w:val="24"/>
              </w:rPr>
              <w:t>3) Relative likelihood of staff entering the formal disciplinary process, as measured by entry into a formal disciplinary investigation</w:t>
            </w:r>
          </w:p>
          <w:p w14:paraId="39A78718" w14:textId="77777777" w:rsidR="001B5E9B" w:rsidRPr="00A47686" w:rsidRDefault="001B5E9B" w:rsidP="00402A38">
            <w:pPr>
              <w:rPr>
                <w:rFonts w:ascii="Arial" w:eastAsia="Times New Roman" w:hAnsi="Arial" w:cs="Arial"/>
                <w:sz w:val="36"/>
                <w:szCs w:val="36"/>
              </w:rPr>
            </w:pPr>
            <w:r w:rsidRPr="00A47686">
              <w:rPr>
                <w:rFonts w:ascii="Arial" w:eastAsia="Times New Roman" w:hAnsi="Arial" w:cs="Arial"/>
                <w:b/>
                <w:bCs/>
                <w:color w:val="000000" w:themeColor="dark1"/>
                <w:kern w:val="24"/>
                <w:szCs w:val="24"/>
              </w:rPr>
              <w:t xml:space="preserve">Note: This indicator will be based on </w:t>
            </w:r>
            <w:proofErr w:type="spellStart"/>
            <w:r w:rsidRPr="00A47686">
              <w:rPr>
                <w:rFonts w:ascii="Arial" w:eastAsia="Times New Roman" w:hAnsi="Arial" w:cs="Arial"/>
                <w:b/>
                <w:bCs/>
                <w:color w:val="000000" w:themeColor="dark1"/>
                <w:kern w:val="24"/>
                <w:szCs w:val="24"/>
              </w:rPr>
              <w:t>year end</w:t>
            </w:r>
            <w:proofErr w:type="spellEnd"/>
            <w:r w:rsidRPr="00A47686">
              <w:rPr>
                <w:rFonts w:ascii="Arial" w:eastAsia="Times New Roman" w:hAnsi="Arial" w:cs="Arial"/>
                <w:b/>
                <w:bCs/>
                <w:color w:val="000000" w:themeColor="dark1"/>
                <w:kern w:val="24"/>
                <w:szCs w:val="24"/>
              </w:rPr>
              <w:t xml:space="preserve"> data.</w:t>
            </w:r>
          </w:p>
        </w:tc>
        <w:tc>
          <w:tcPr>
            <w:tcW w:w="28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F675B0"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Number of staff entering the formal disciplinary process</w:t>
            </w:r>
          </w:p>
        </w:tc>
        <w:tc>
          <w:tcPr>
            <w:tcW w:w="163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C0DD634"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7</w:t>
            </w:r>
          </w:p>
        </w:tc>
        <w:tc>
          <w:tcPr>
            <w:tcW w:w="163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9DF46B6"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1</w:t>
            </w:r>
          </w:p>
        </w:tc>
        <w:tc>
          <w:tcPr>
            <w:tcW w:w="163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A861F9" w14:textId="77777777" w:rsidR="001B5E9B" w:rsidRPr="00753D43" w:rsidRDefault="001B5E9B" w:rsidP="00402A38">
            <w:pPr>
              <w:rPr>
                <w:rFonts w:ascii="Arial" w:eastAsia="Times New Roman" w:hAnsi="Arial" w:cs="Arial"/>
                <w:sz w:val="22"/>
                <w:szCs w:val="22"/>
              </w:rPr>
            </w:pPr>
            <w:r w:rsidRPr="00753D43">
              <w:rPr>
                <w:rFonts w:ascii="Calibri" w:eastAsia="Times New Roman" w:hAnsi="Calibri" w:cs="Calibri"/>
                <w:color w:val="000000" w:themeColor="dark1"/>
                <w:kern w:val="24"/>
                <w:sz w:val="22"/>
                <w:szCs w:val="22"/>
              </w:rPr>
              <w:t>0</w:t>
            </w:r>
          </w:p>
        </w:tc>
      </w:tr>
      <w:tr w:rsidR="001B5E9B" w:rsidRPr="00FA065E" w14:paraId="7F20EBA3" w14:textId="77777777" w:rsidTr="001B5E9B">
        <w:trPr>
          <w:trHeight w:val="584"/>
        </w:trPr>
        <w:tc>
          <w:tcPr>
            <w:tcW w:w="2854" w:type="dxa"/>
            <w:vMerge/>
            <w:tcBorders>
              <w:top w:val="single" w:sz="24" w:space="0" w:color="FFFFFF"/>
              <w:left w:val="single" w:sz="8" w:space="0" w:color="FFFFFF"/>
              <w:bottom w:val="single" w:sz="8" w:space="0" w:color="FFFFFF"/>
              <w:right w:val="single" w:sz="8" w:space="0" w:color="FFFFFF"/>
            </w:tcBorders>
            <w:vAlign w:val="center"/>
            <w:hideMark/>
          </w:tcPr>
          <w:p w14:paraId="5F50156B" w14:textId="77777777" w:rsidR="001B5E9B" w:rsidRPr="00A47686" w:rsidRDefault="001B5E9B" w:rsidP="00402A38">
            <w:pPr>
              <w:rPr>
                <w:rFonts w:ascii="Arial" w:eastAsia="Times New Roman" w:hAnsi="Arial" w:cs="Arial"/>
                <w:sz w:val="36"/>
                <w:szCs w:val="36"/>
              </w:rPr>
            </w:pP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E52825D"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Likelihood of staff entering the formal disciplinary process</w:t>
            </w:r>
          </w:p>
        </w:tc>
        <w:tc>
          <w:tcPr>
            <w:tcW w:w="163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E5FF11E"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0.12%</w:t>
            </w:r>
          </w:p>
        </w:tc>
        <w:tc>
          <w:tcPr>
            <w:tcW w:w="163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B1E2BE"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0.07%</w:t>
            </w:r>
          </w:p>
        </w:tc>
        <w:tc>
          <w:tcPr>
            <w:tcW w:w="16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545A81" w14:textId="77777777" w:rsidR="001B5E9B" w:rsidRPr="00753D43" w:rsidRDefault="001B5E9B" w:rsidP="00402A38">
            <w:pPr>
              <w:rPr>
                <w:rFonts w:ascii="Arial" w:eastAsia="Times New Roman" w:hAnsi="Arial" w:cs="Arial"/>
                <w:sz w:val="22"/>
                <w:szCs w:val="22"/>
              </w:rPr>
            </w:pPr>
            <w:r w:rsidRPr="00753D43">
              <w:rPr>
                <w:rFonts w:ascii="Calibri" w:eastAsia="Times New Roman" w:hAnsi="Calibri" w:cs="Calibri"/>
                <w:color w:val="000000" w:themeColor="dark1"/>
                <w:kern w:val="24"/>
                <w:sz w:val="22"/>
                <w:szCs w:val="22"/>
              </w:rPr>
              <w:t>0.00%</w:t>
            </w:r>
          </w:p>
        </w:tc>
      </w:tr>
      <w:tr w:rsidR="001B5E9B" w:rsidRPr="00FA065E" w14:paraId="0881A429" w14:textId="77777777" w:rsidTr="001B5E9B">
        <w:trPr>
          <w:trHeight w:val="584"/>
        </w:trPr>
        <w:tc>
          <w:tcPr>
            <w:tcW w:w="2854" w:type="dxa"/>
            <w:vMerge/>
            <w:tcBorders>
              <w:top w:val="single" w:sz="24" w:space="0" w:color="FFFFFF"/>
              <w:left w:val="single" w:sz="8" w:space="0" w:color="FFFFFF"/>
              <w:bottom w:val="single" w:sz="8" w:space="0" w:color="FFFFFF"/>
              <w:right w:val="single" w:sz="8" w:space="0" w:color="FFFFFF"/>
            </w:tcBorders>
            <w:vAlign w:val="center"/>
            <w:hideMark/>
          </w:tcPr>
          <w:p w14:paraId="2CFCD82F" w14:textId="77777777" w:rsidR="001B5E9B" w:rsidRPr="00A47686" w:rsidRDefault="001B5E9B" w:rsidP="00402A38">
            <w:pPr>
              <w:rPr>
                <w:rFonts w:ascii="Arial" w:eastAsia="Times New Roman" w:hAnsi="Arial" w:cs="Arial"/>
                <w:sz w:val="36"/>
                <w:szCs w:val="36"/>
              </w:rPr>
            </w:pP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AFE423C"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Relative likelihood of BME staff entering the formal disciplinary process compared to White staff</w:t>
            </w:r>
          </w:p>
        </w:tc>
        <w:tc>
          <w:tcPr>
            <w:tcW w:w="163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3FFCB9" w14:textId="77777777" w:rsidR="001B5E9B" w:rsidRPr="00753D43" w:rsidRDefault="001B5E9B" w:rsidP="00402A38">
            <w:pPr>
              <w:rPr>
                <w:rFonts w:ascii="Arial" w:eastAsia="Times New Roman" w:hAnsi="Arial" w:cs="Arial"/>
                <w:sz w:val="22"/>
                <w:szCs w:val="22"/>
              </w:rPr>
            </w:pPr>
          </w:p>
        </w:tc>
        <w:tc>
          <w:tcPr>
            <w:tcW w:w="163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CF01AD" w14:textId="77777777" w:rsidR="001B5E9B" w:rsidRPr="00753D43" w:rsidRDefault="001B5E9B" w:rsidP="00402A38">
            <w:pPr>
              <w:rPr>
                <w:rFonts w:ascii="Arial" w:eastAsia="Times New Roman" w:hAnsi="Arial" w:cs="Arial"/>
                <w:sz w:val="22"/>
                <w:szCs w:val="22"/>
              </w:rPr>
            </w:pPr>
            <w:r w:rsidRPr="00753D43">
              <w:rPr>
                <w:rFonts w:ascii="Arial" w:eastAsia="Times New Roman" w:hAnsi="Arial" w:cs="Arial"/>
                <w:kern w:val="24"/>
                <w:sz w:val="22"/>
                <w:szCs w:val="22"/>
              </w:rPr>
              <w:t>0.58</w:t>
            </w:r>
          </w:p>
        </w:tc>
        <w:tc>
          <w:tcPr>
            <w:tcW w:w="163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8013B9" w14:textId="77777777" w:rsidR="001B5E9B" w:rsidRPr="00753D43" w:rsidRDefault="001B5E9B" w:rsidP="00402A38">
            <w:pPr>
              <w:rPr>
                <w:rFonts w:ascii="Arial" w:eastAsia="Times New Roman" w:hAnsi="Arial" w:cs="Arial"/>
                <w:sz w:val="22"/>
                <w:szCs w:val="22"/>
              </w:rPr>
            </w:pPr>
          </w:p>
        </w:tc>
      </w:tr>
    </w:tbl>
    <w:p w14:paraId="5DEB2A9A" w14:textId="77777777" w:rsidR="009334B6" w:rsidRDefault="009334B6" w:rsidP="001B5E9B">
      <w:pPr>
        <w:pStyle w:val="NoSpacing"/>
        <w:jc w:val="both"/>
        <w:rPr>
          <w:rFonts w:ascii="Arial" w:hAnsi="Arial" w:cs="Arial"/>
          <w:sz w:val="22"/>
          <w:szCs w:val="22"/>
        </w:rPr>
      </w:pPr>
    </w:p>
    <w:p w14:paraId="7F7CF796" w14:textId="504000BD" w:rsidR="001B5E9B" w:rsidRPr="008369D5" w:rsidRDefault="001B5E9B" w:rsidP="00C72AE2">
      <w:pPr>
        <w:pStyle w:val="NoSpacing"/>
        <w:rPr>
          <w:rFonts w:ascii="Arial" w:hAnsi="Arial" w:cs="Arial"/>
          <w:sz w:val="22"/>
          <w:szCs w:val="22"/>
        </w:rPr>
      </w:pPr>
      <w:r w:rsidRPr="008369D5">
        <w:rPr>
          <w:rFonts w:ascii="Arial" w:hAnsi="Arial" w:cs="Arial"/>
          <w:sz w:val="22"/>
          <w:szCs w:val="22"/>
        </w:rPr>
        <w:t>A figure equal to 1 indicates that BME staff are no more likely to enter the formal disciplinary process over white staf</w:t>
      </w:r>
      <w:r w:rsidR="00474F80">
        <w:rPr>
          <w:rFonts w:ascii="Arial" w:hAnsi="Arial" w:cs="Arial"/>
          <w:sz w:val="22"/>
          <w:szCs w:val="22"/>
        </w:rPr>
        <w:t xml:space="preserve">f. </w:t>
      </w:r>
    </w:p>
    <w:p w14:paraId="6554DE88" w14:textId="77777777" w:rsidR="00092DC4" w:rsidRDefault="00092DC4" w:rsidP="00C72AE2">
      <w:pPr>
        <w:pStyle w:val="NoSpacing"/>
        <w:rPr>
          <w:rFonts w:ascii="Arial" w:hAnsi="Arial" w:cs="Arial"/>
          <w:sz w:val="22"/>
          <w:szCs w:val="22"/>
        </w:rPr>
      </w:pPr>
    </w:p>
    <w:p w14:paraId="55A74423" w14:textId="24D04787" w:rsidR="00853864" w:rsidRDefault="001B5E9B" w:rsidP="00C72AE2">
      <w:pPr>
        <w:pStyle w:val="NoSpacing"/>
        <w:rPr>
          <w:rFonts w:ascii="Arial" w:hAnsi="Arial" w:cs="Arial"/>
          <w:sz w:val="22"/>
          <w:szCs w:val="22"/>
        </w:rPr>
      </w:pPr>
      <w:r w:rsidRPr="008369D5">
        <w:rPr>
          <w:rFonts w:ascii="Arial" w:hAnsi="Arial" w:cs="Arial"/>
          <w:sz w:val="22"/>
          <w:szCs w:val="22"/>
        </w:rPr>
        <w:t xml:space="preserve">The data above indicates that </w:t>
      </w:r>
      <w:bookmarkStart w:id="5" w:name="_Hlk138682948"/>
      <w:r w:rsidRPr="008369D5">
        <w:rPr>
          <w:rFonts w:ascii="Arial" w:hAnsi="Arial" w:cs="Arial"/>
          <w:sz w:val="22"/>
          <w:szCs w:val="22"/>
        </w:rPr>
        <w:t>white staff are more likely to enter a formal disciplinary process (0.12%) than BME staff (0.07%). The figure has decreased by 0.1 and shows that white staff are marginally more likely to enter a formal disciplinary process.</w:t>
      </w:r>
    </w:p>
    <w:p w14:paraId="1A4BAF92" w14:textId="36E32068" w:rsidR="00853864" w:rsidRDefault="00853864" w:rsidP="001B5E9B">
      <w:pPr>
        <w:pStyle w:val="NoSpacing"/>
        <w:jc w:val="both"/>
        <w:rPr>
          <w:rFonts w:ascii="Arial" w:hAnsi="Arial" w:cs="Arial"/>
          <w:sz w:val="22"/>
          <w:szCs w:val="22"/>
        </w:rPr>
      </w:pPr>
    </w:p>
    <w:tbl>
      <w:tblPr>
        <w:tblW w:w="10644" w:type="dxa"/>
        <w:tblInd w:w="-10" w:type="dxa"/>
        <w:tblLayout w:type="fixed"/>
        <w:tblCellMar>
          <w:left w:w="0" w:type="dxa"/>
          <w:right w:w="0" w:type="dxa"/>
        </w:tblCellMar>
        <w:tblLook w:val="0420" w:firstRow="1" w:lastRow="0" w:firstColumn="0" w:lastColumn="0" w:noHBand="0" w:noVBand="1"/>
      </w:tblPr>
      <w:tblGrid>
        <w:gridCol w:w="2797"/>
        <w:gridCol w:w="2865"/>
        <w:gridCol w:w="1660"/>
        <w:gridCol w:w="1661"/>
        <w:gridCol w:w="1661"/>
      </w:tblGrid>
      <w:tr w:rsidR="0045657B" w:rsidRPr="00FA065E" w14:paraId="3B9DB494" w14:textId="77777777" w:rsidTr="00753D43">
        <w:trPr>
          <w:trHeight w:val="584"/>
        </w:trPr>
        <w:tc>
          <w:tcPr>
            <w:tcW w:w="279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bookmarkEnd w:id="5"/>
          <w:p w14:paraId="06E68B07"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4</w:t>
            </w:r>
          </w:p>
        </w:tc>
        <w:tc>
          <w:tcPr>
            <w:tcW w:w="286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5703FFE"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Data Item</w:t>
            </w:r>
          </w:p>
        </w:tc>
        <w:tc>
          <w:tcPr>
            <w:tcW w:w="16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E53D2CE"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White</w:t>
            </w:r>
          </w:p>
        </w:tc>
        <w:tc>
          <w:tcPr>
            <w:tcW w:w="166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0CB1962"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BME</w:t>
            </w:r>
          </w:p>
        </w:tc>
        <w:tc>
          <w:tcPr>
            <w:tcW w:w="166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A997156"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Ethnicity Unknown/Null</w:t>
            </w:r>
          </w:p>
        </w:tc>
      </w:tr>
      <w:tr w:rsidR="0045657B" w:rsidRPr="00FA065E" w14:paraId="5BB3F1CA" w14:textId="77777777" w:rsidTr="00753D43">
        <w:trPr>
          <w:trHeight w:val="584"/>
        </w:trPr>
        <w:tc>
          <w:tcPr>
            <w:tcW w:w="2797"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C2569EC" w14:textId="77777777" w:rsidR="0045657B" w:rsidRPr="00A47686" w:rsidRDefault="0045657B" w:rsidP="00402A38">
            <w:pPr>
              <w:rPr>
                <w:rFonts w:ascii="Arial" w:eastAsia="Times New Roman" w:hAnsi="Arial" w:cs="Arial"/>
                <w:sz w:val="36"/>
                <w:szCs w:val="36"/>
              </w:rPr>
            </w:pPr>
            <w:r w:rsidRPr="00A47686">
              <w:rPr>
                <w:rFonts w:ascii="Arial" w:eastAsia="Times New Roman" w:hAnsi="Arial" w:cs="Arial"/>
                <w:b/>
                <w:bCs/>
                <w:color w:val="000000" w:themeColor="dark1"/>
                <w:kern w:val="24"/>
                <w:szCs w:val="24"/>
              </w:rPr>
              <w:t>4) Relative likelihood of staff accessing non-mandatory training and CPD</w:t>
            </w:r>
          </w:p>
        </w:tc>
        <w:tc>
          <w:tcPr>
            <w:tcW w:w="286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5D3DEE"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Number of staff accessing non-mandatory training and CPD</w:t>
            </w:r>
          </w:p>
        </w:tc>
        <w:tc>
          <w:tcPr>
            <w:tcW w:w="16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E1D99F8"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3150</w:t>
            </w:r>
          </w:p>
        </w:tc>
        <w:tc>
          <w:tcPr>
            <w:tcW w:w="16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A89604"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1036</w:t>
            </w:r>
          </w:p>
        </w:tc>
        <w:tc>
          <w:tcPr>
            <w:tcW w:w="16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E8FBF8B" w14:textId="77777777" w:rsidR="0045657B" w:rsidRPr="00753D43" w:rsidRDefault="0045657B" w:rsidP="00402A38">
            <w:pPr>
              <w:rPr>
                <w:rFonts w:ascii="Arial" w:eastAsia="Times New Roman" w:hAnsi="Arial" w:cs="Arial"/>
                <w:sz w:val="22"/>
                <w:szCs w:val="22"/>
              </w:rPr>
            </w:pPr>
            <w:r w:rsidRPr="00753D43">
              <w:rPr>
                <w:rFonts w:ascii="Calibri" w:eastAsia="Times New Roman" w:hAnsi="Calibri" w:cs="Calibri"/>
                <w:color w:val="000000" w:themeColor="dark1"/>
                <w:kern w:val="24"/>
                <w:sz w:val="22"/>
                <w:szCs w:val="22"/>
              </w:rPr>
              <w:t>527</w:t>
            </w:r>
          </w:p>
        </w:tc>
      </w:tr>
      <w:tr w:rsidR="0045657B" w:rsidRPr="00FA065E" w14:paraId="0F0C98B2" w14:textId="77777777" w:rsidTr="00753D43">
        <w:trPr>
          <w:trHeight w:val="882"/>
        </w:trPr>
        <w:tc>
          <w:tcPr>
            <w:tcW w:w="2797" w:type="dxa"/>
            <w:vMerge/>
            <w:tcBorders>
              <w:top w:val="single" w:sz="24" w:space="0" w:color="FFFFFF"/>
              <w:left w:val="single" w:sz="8" w:space="0" w:color="FFFFFF"/>
              <w:bottom w:val="single" w:sz="8" w:space="0" w:color="FFFFFF"/>
              <w:right w:val="single" w:sz="8" w:space="0" w:color="FFFFFF"/>
            </w:tcBorders>
            <w:vAlign w:val="center"/>
            <w:hideMark/>
          </w:tcPr>
          <w:p w14:paraId="214FB85D" w14:textId="77777777" w:rsidR="0045657B" w:rsidRPr="00A47686" w:rsidRDefault="0045657B" w:rsidP="00402A38">
            <w:pPr>
              <w:rPr>
                <w:rFonts w:ascii="Arial" w:eastAsia="Times New Roman" w:hAnsi="Arial" w:cs="Arial"/>
                <w:sz w:val="36"/>
                <w:szCs w:val="36"/>
              </w:rPr>
            </w:pPr>
          </w:p>
        </w:tc>
        <w:tc>
          <w:tcPr>
            <w:tcW w:w="286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A60836F"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Likelihood of staff accessing non-mandatory training and CPD</w:t>
            </w:r>
          </w:p>
        </w:tc>
        <w:tc>
          <w:tcPr>
            <w:tcW w:w="16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9EDCEB"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kern w:val="24"/>
                <w:sz w:val="22"/>
                <w:szCs w:val="22"/>
              </w:rPr>
              <w:t>54.97%</w:t>
            </w:r>
          </w:p>
        </w:tc>
        <w:tc>
          <w:tcPr>
            <w:tcW w:w="16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08DE18F"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kern w:val="24"/>
                <w:sz w:val="22"/>
                <w:szCs w:val="22"/>
              </w:rPr>
              <w:t>70.67%</w:t>
            </w:r>
          </w:p>
        </w:tc>
        <w:tc>
          <w:tcPr>
            <w:tcW w:w="16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E132203" w14:textId="77777777" w:rsidR="0045657B" w:rsidRPr="00753D43" w:rsidRDefault="0045657B" w:rsidP="00402A38">
            <w:pPr>
              <w:rPr>
                <w:rFonts w:ascii="Arial" w:eastAsia="Times New Roman" w:hAnsi="Arial" w:cs="Arial"/>
                <w:sz w:val="22"/>
                <w:szCs w:val="22"/>
              </w:rPr>
            </w:pPr>
            <w:r w:rsidRPr="00753D43">
              <w:rPr>
                <w:rFonts w:ascii="Calibri" w:eastAsia="Times New Roman" w:hAnsi="Calibri" w:cs="Calibri"/>
                <w:color w:val="000000" w:themeColor="dark1"/>
                <w:kern w:val="24"/>
                <w:sz w:val="22"/>
                <w:szCs w:val="22"/>
              </w:rPr>
              <w:t>58.49%</w:t>
            </w:r>
          </w:p>
        </w:tc>
      </w:tr>
      <w:tr w:rsidR="00474F80" w:rsidRPr="00FA065E" w14:paraId="773C6857" w14:textId="77777777" w:rsidTr="0030385B">
        <w:trPr>
          <w:trHeight w:val="584"/>
        </w:trPr>
        <w:tc>
          <w:tcPr>
            <w:tcW w:w="2797" w:type="dxa"/>
            <w:vMerge/>
            <w:tcBorders>
              <w:top w:val="single" w:sz="24" w:space="0" w:color="FFFFFF"/>
              <w:left w:val="single" w:sz="8" w:space="0" w:color="FFFFFF"/>
              <w:bottom w:val="single" w:sz="8" w:space="0" w:color="FFFFFF"/>
              <w:right w:val="single" w:sz="8" w:space="0" w:color="FFFFFF"/>
            </w:tcBorders>
            <w:vAlign w:val="center"/>
            <w:hideMark/>
          </w:tcPr>
          <w:p w14:paraId="714AA2B4" w14:textId="77777777" w:rsidR="00474F80" w:rsidRPr="00A47686" w:rsidRDefault="00474F80" w:rsidP="00402A38">
            <w:pPr>
              <w:rPr>
                <w:rFonts w:ascii="Arial" w:eastAsia="Times New Roman" w:hAnsi="Arial" w:cs="Arial"/>
                <w:sz w:val="36"/>
                <w:szCs w:val="36"/>
              </w:rPr>
            </w:pPr>
          </w:p>
        </w:tc>
        <w:tc>
          <w:tcPr>
            <w:tcW w:w="286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750BC84" w14:textId="77777777" w:rsidR="00474F80" w:rsidRPr="00A47686" w:rsidRDefault="00474F80" w:rsidP="00402A38">
            <w:pPr>
              <w:rPr>
                <w:rFonts w:ascii="Arial" w:eastAsia="Times New Roman" w:hAnsi="Arial" w:cs="Arial"/>
                <w:sz w:val="36"/>
                <w:szCs w:val="36"/>
              </w:rPr>
            </w:pPr>
            <w:r w:rsidRPr="00753D43">
              <w:rPr>
                <w:rFonts w:ascii="Arial" w:eastAsia="Times New Roman" w:hAnsi="Arial" w:cs="Arial"/>
                <w:color w:val="000000" w:themeColor="dark1"/>
                <w:kern w:val="24"/>
                <w:sz w:val="22"/>
                <w:szCs w:val="22"/>
              </w:rPr>
              <w:t>Relative likelihood of White staff accessing non-mandatory training</w:t>
            </w:r>
            <w:r w:rsidRPr="00A47686">
              <w:rPr>
                <w:rFonts w:ascii="Arial" w:eastAsia="Times New Roman" w:hAnsi="Arial" w:cs="Arial"/>
                <w:color w:val="000000" w:themeColor="dark1"/>
                <w:kern w:val="24"/>
                <w:szCs w:val="24"/>
              </w:rPr>
              <w:t xml:space="preserve"> </w:t>
            </w:r>
            <w:r w:rsidRPr="00753D43">
              <w:rPr>
                <w:rFonts w:ascii="Arial" w:eastAsia="Times New Roman" w:hAnsi="Arial" w:cs="Arial"/>
                <w:color w:val="000000" w:themeColor="dark1"/>
                <w:kern w:val="24"/>
                <w:sz w:val="22"/>
                <w:szCs w:val="22"/>
              </w:rPr>
              <w:t>and CPD compared to BME staff</w:t>
            </w:r>
          </w:p>
        </w:tc>
        <w:tc>
          <w:tcPr>
            <w:tcW w:w="4982"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CCE0902" w14:textId="2BD82FEE" w:rsidR="00474F80" w:rsidRPr="00FA065E" w:rsidRDefault="00474F80" w:rsidP="00402A38">
            <w:pPr>
              <w:rPr>
                <w:rFonts w:ascii="Times New Roman" w:eastAsia="Times New Roman" w:hAnsi="Times New Roman"/>
                <w:sz w:val="20"/>
              </w:rPr>
            </w:pPr>
            <w:r w:rsidRPr="00A47686">
              <w:rPr>
                <w:rFonts w:ascii="Arial" w:eastAsia="Times New Roman" w:hAnsi="Arial" w:cs="Arial"/>
                <w:color w:val="000000" w:themeColor="dark1"/>
                <w:kern w:val="24"/>
                <w:szCs w:val="24"/>
              </w:rPr>
              <w:t>0.78</w:t>
            </w:r>
          </w:p>
        </w:tc>
      </w:tr>
    </w:tbl>
    <w:p w14:paraId="416CBD4A" w14:textId="77777777" w:rsidR="00092DC4" w:rsidRDefault="00092DC4" w:rsidP="008369D5">
      <w:pPr>
        <w:pStyle w:val="NoSpacing"/>
        <w:jc w:val="both"/>
        <w:rPr>
          <w:rFonts w:ascii="Arial" w:hAnsi="Arial" w:cs="Arial"/>
          <w:sz w:val="22"/>
          <w:szCs w:val="22"/>
        </w:rPr>
      </w:pPr>
    </w:p>
    <w:p w14:paraId="0FD9542B" w14:textId="6935C0A0" w:rsidR="0045657B" w:rsidRPr="008369D5" w:rsidRDefault="0045657B" w:rsidP="00C72AE2">
      <w:pPr>
        <w:pStyle w:val="NoSpacing"/>
        <w:rPr>
          <w:rFonts w:ascii="Arial" w:hAnsi="Arial" w:cs="Arial"/>
          <w:sz w:val="22"/>
          <w:szCs w:val="22"/>
        </w:rPr>
      </w:pPr>
      <w:r w:rsidRPr="008369D5">
        <w:rPr>
          <w:rFonts w:ascii="Arial" w:hAnsi="Arial" w:cs="Arial"/>
          <w:sz w:val="22"/>
          <w:szCs w:val="22"/>
        </w:rPr>
        <w:t xml:space="preserve">BME </w:t>
      </w:r>
      <w:r w:rsidR="00370918">
        <w:rPr>
          <w:rFonts w:ascii="Arial" w:hAnsi="Arial" w:cs="Arial"/>
          <w:sz w:val="22"/>
          <w:szCs w:val="22"/>
        </w:rPr>
        <w:t>staff</w:t>
      </w:r>
      <w:r w:rsidRPr="008369D5">
        <w:rPr>
          <w:rFonts w:ascii="Arial" w:hAnsi="Arial" w:cs="Arial"/>
          <w:sz w:val="22"/>
          <w:szCs w:val="22"/>
        </w:rPr>
        <w:t xml:space="preserve"> are more likely to access non – mandatory training and C</w:t>
      </w:r>
      <w:r w:rsidR="00370918">
        <w:rPr>
          <w:rFonts w:ascii="Arial" w:hAnsi="Arial" w:cs="Arial"/>
          <w:sz w:val="22"/>
          <w:szCs w:val="22"/>
        </w:rPr>
        <w:t xml:space="preserve">ontinued Professional Development </w:t>
      </w:r>
      <w:r w:rsidR="00370918" w:rsidRPr="008369D5">
        <w:rPr>
          <w:rFonts w:ascii="Arial" w:hAnsi="Arial" w:cs="Arial"/>
          <w:sz w:val="22"/>
          <w:szCs w:val="22"/>
        </w:rPr>
        <w:t>compared</w:t>
      </w:r>
      <w:r w:rsidRPr="008369D5">
        <w:rPr>
          <w:rFonts w:ascii="Arial" w:hAnsi="Arial" w:cs="Arial"/>
          <w:sz w:val="22"/>
          <w:szCs w:val="22"/>
        </w:rPr>
        <w:t xml:space="preserve"> to white </w:t>
      </w:r>
      <w:r w:rsidR="008369D5">
        <w:rPr>
          <w:rFonts w:ascii="Arial" w:hAnsi="Arial" w:cs="Arial"/>
          <w:sz w:val="22"/>
          <w:szCs w:val="22"/>
        </w:rPr>
        <w:t>staff</w:t>
      </w:r>
      <w:r w:rsidRPr="008369D5">
        <w:rPr>
          <w:rFonts w:ascii="Arial" w:hAnsi="Arial" w:cs="Arial"/>
          <w:sz w:val="22"/>
          <w:szCs w:val="22"/>
        </w:rPr>
        <w:t xml:space="preserve">, with 70.67% BME and 54.97% </w:t>
      </w:r>
      <w:bookmarkStart w:id="6" w:name="_Hlk138683299"/>
      <w:r w:rsidR="008369D5">
        <w:rPr>
          <w:rFonts w:ascii="Arial" w:hAnsi="Arial" w:cs="Arial"/>
          <w:sz w:val="22"/>
          <w:szCs w:val="22"/>
        </w:rPr>
        <w:t>white staff</w:t>
      </w:r>
      <w:r w:rsidRPr="008369D5">
        <w:rPr>
          <w:rFonts w:ascii="Arial" w:hAnsi="Arial" w:cs="Arial"/>
          <w:sz w:val="22"/>
          <w:szCs w:val="22"/>
        </w:rPr>
        <w:t xml:space="preserve">. </w:t>
      </w:r>
    </w:p>
    <w:p w14:paraId="248652C5" w14:textId="77777777" w:rsidR="0045657B" w:rsidRPr="008369D5" w:rsidRDefault="0045657B" w:rsidP="00C72AE2">
      <w:pPr>
        <w:pStyle w:val="NoSpacing"/>
        <w:rPr>
          <w:rFonts w:ascii="Arial" w:hAnsi="Arial" w:cs="Arial"/>
          <w:sz w:val="22"/>
          <w:szCs w:val="22"/>
        </w:rPr>
      </w:pPr>
    </w:p>
    <w:p w14:paraId="198D8183" w14:textId="1D155103" w:rsidR="0045657B" w:rsidRPr="008369D5" w:rsidRDefault="0045657B" w:rsidP="00C72AE2">
      <w:pPr>
        <w:pStyle w:val="NoSpacing"/>
        <w:rPr>
          <w:rFonts w:ascii="Arial" w:hAnsi="Arial" w:cs="Arial"/>
          <w:sz w:val="22"/>
          <w:szCs w:val="22"/>
        </w:rPr>
      </w:pPr>
      <w:r w:rsidRPr="008369D5">
        <w:rPr>
          <w:rFonts w:ascii="Arial" w:hAnsi="Arial" w:cs="Arial"/>
          <w:sz w:val="22"/>
          <w:szCs w:val="22"/>
        </w:rPr>
        <w:t>Th</w:t>
      </w:r>
      <w:r w:rsidR="008369D5">
        <w:rPr>
          <w:rFonts w:ascii="Arial" w:hAnsi="Arial" w:cs="Arial"/>
          <w:sz w:val="22"/>
          <w:szCs w:val="22"/>
        </w:rPr>
        <w:t>e</w:t>
      </w:r>
      <w:r w:rsidRPr="008369D5">
        <w:rPr>
          <w:rFonts w:ascii="Arial" w:hAnsi="Arial" w:cs="Arial"/>
          <w:sz w:val="22"/>
          <w:szCs w:val="22"/>
        </w:rPr>
        <w:t xml:space="preserve"> gap has decreased since 2022 by 0.5 decimal points, with white staff becoming less likely to access mandatory training/CPD. However, 58.49% of staff whose ethnicity is unknown are likely to complete their mandatory training too.</w:t>
      </w:r>
    </w:p>
    <w:p w14:paraId="49DE6860" w14:textId="5085DF5C" w:rsidR="0045657B" w:rsidRDefault="0045657B" w:rsidP="0045657B">
      <w:pPr>
        <w:pStyle w:val="NoSpacing"/>
        <w:jc w:val="both"/>
        <w:rPr>
          <w:rFonts w:ascii="Arial" w:hAnsi="Arial" w:cs="Arial"/>
        </w:rPr>
      </w:pPr>
    </w:p>
    <w:p w14:paraId="3AD6B2A0" w14:textId="5EDD9C0C" w:rsidR="00092DC4" w:rsidRDefault="00092DC4" w:rsidP="0045657B">
      <w:pPr>
        <w:pStyle w:val="NoSpacing"/>
        <w:jc w:val="both"/>
        <w:rPr>
          <w:rFonts w:ascii="Arial" w:hAnsi="Arial" w:cs="Arial"/>
        </w:rPr>
      </w:pPr>
    </w:p>
    <w:p w14:paraId="76B867C6" w14:textId="1B721AF5" w:rsidR="00092DC4" w:rsidRDefault="00092DC4" w:rsidP="0045657B">
      <w:pPr>
        <w:pStyle w:val="NoSpacing"/>
        <w:jc w:val="both"/>
        <w:rPr>
          <w:rFonts w:ascii="Arial" w:hAnsi="Arial" w:cs="Arial"/>
        </w:rPr>
      </w:pPr>
    </w:p>
    <w:p w14:paraId="0380DE95" w14:textId="01E7A8BD" w:rsidR="00092DC4" w:rsidRDefault="00092DC4" w:rsidP="0045657B">
      <w:pPr>
        <w:pStyle w:val="NoSpacing"/>
        <w:jc w:val="both"/>
        <w:rPr>
          <w:rFonts w:ascii="Arial" w:hAnsi="Arial" w:cs="Arial"/>
        </w:rPr>
      </w:pPr>
    </w:p>
    <w:tbl>
      <w:tblPr>
        <w:tblW w:w="10644" w:type="dxa"/>
        <w:tblInd w:w="-10" w:type="dxa"/>
        <w:tblCellMar>
          <w:left w:w="0" w:type="dxa"/>
          <w:right w:w="0" w:type="dxa"/>
        </w:tblCellMar>
        <w:tblLook w:val="0420" w:firstRow="1" w:lastRow="0" w:firstColumn="0" w:lastColumn="0" w:noHBand="0" w:noVBand="1"/>
      </w:tblPr>
      <w:tblGrid>
        <w:gridCol w:w="3300"/>
        <w:gridCol w:w="2448"/>
        <w:gridCol w:w="2448"/>
        <w:gridCol w:w="2448"/>
      </w:tblGrid>
      <w:tr w:rsidR="0045657B" w:rsidRPr="00FA065E" w14:paraId="1869D17C" w14:textId="77777777" w:rsidTr="009334B6">
        <w:trPr>
          <w:trHeight w:val="475"/>
        </w:trPr>
        <w:tc>
          <w:tcPr>
            <w:tcW w:w="33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247C07C" w14:textId="77777777" w:rsidR="0045657B" w:rsidRPr="00FA065E" w:rsidRDefault="0045657B" w:rsidP="00402A38">
            <w:pPr>
              <w:rPr>
                <w:rFonts w:ascii="Arial" w:eastAsia="Times New Roman" w:hAnsi="Arial" w:cs="Arial"/>
                <w:sz w:val="36"/>
                <w:szCs w:val="36"/>
              </w:rPr>
            </w:pPr>
            <w:bookmarkStart w:id="7" w:name="_Hlk136887929"/>
            <w:bookmarkEnd w:id="6"/>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5</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5B0302A" w14:textId="77777777" w:rsidR="0045657B" w:rsidRPr="00FA065E"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33469F0"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2021</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CD0FC3F"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2022</w:t>
            </w:r>
          </w:p>
        </w:tc>
      </w:tr>
      <w:tr w:rsidR="0045657B" w:rsidRPr="00A47686" w14:paraId="117E0BC1" w14:textId="77777777" w:rsidTr="008369D5">
        <w:trPr>
          <w:trHeight w:val="584"/>
        </w:trPr>
        <w:tc>
          <w:tcPr>
            <w:tcW w:w="3300"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E96384C" w14:textId="77777777" w:rsidR="0045657B" w:rsidRPr="00A47686" w:rsidRDefault="0045657B" w:rsidP="00402A38">
            <w:pPr>
              <w:rPr>
                <w:rFonts w:ascii="Arial" w:eastAsia="Times New Roman" w:hAnsi="Arial" w:cs="Arial"/>
                <w:b/>
                <w:bCs/>
                <w:sz w:val="36"/>
                <w:szCs w:val="36"/>
              </w:rPr>
            </w:pPr>
            <w:r w:rsidRPr="00A47686">
              <w:rPr>
                <w:rFonts w:ascii="Arial" w:hAnsi="Arial" w:cs="Arial"/>
                <w:b/>
                <w:bCs/>
              </w:rPr>
              <w:t>Percentage of staff experiencing harassment, bullying or abuse from patients, relatives or the public in last 12 months</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3FA8291" w14:textId="77777777" w:rsidR="0045657B" w:rsidRPr="00753D43" w:rsidRDefault="0045657B" w:rsidP="00402A38">
            <w:pPr>
              <w:rPr>
                <w:rFonts w:ascii="Arial" w:hAnsi="Arial" w:cs="Arial"/>
                <w:sz w:val="22"/>
                <w:szCs w:val="22"/>
              </w:rPr>
            </w:pPr>
            <w:r w:rsidRPr="00753D43">
              <w:rPr>
                <w:rFonts w:ascii="Arial" w:hAnsi="Arial" w:cs="Arial"/>
                <w:sz w:val="22"/>
                <w:szCs w:val="22"/>
              </w:rPr>
              <w:t>White</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C6FCF0A"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 xml:space="preserve">29.9% </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8668EB7" w14:textId="71FF31AA" w:rsidR="0045657B" w:rsidRPr="00753D43" w:rsidRDefault="0045657B" w:rsidP="00402A38">
            <w:pPr>
              <w:rPr>
                <w:rFonts w:ascii="Arial" w:eastAsia="Times New Roman" w:hAnsi="Arial" w:cs="Arial"/>
                <w:sz w:val="22"/>
                <w:szCs w:val="22"/>
                <w:highlight w:val="yellow"/>
              </w:rPr>
            </w:pPr>
            <w:r w:rsidRPr="00753D43">
              <w:rPr>
                <w:rFonts w:ascii="Arial" w:eastAsia="Times New Roman" w:hAnsi="Arial" w:cs="Arial"/>
                <w:sz w:val="22"/>
                <w:szCs w:val="22"/>
              </w:rPr>
              <w:t>28.</w:t>
            </w:r>
            <w:r w:rsidR="00AD7CBB">
              <w:rPr>
                <w:rFonts w:ascii="Arial" w:eastAsia="Times New Roman" w:hAnsi="Arial" w:cs="Arial"/>
                <w:sz w:val="22"/>
                <w:szCs w:val="22"/>
              </w:rPr>
              <w:t>3</w:t>
            </w:r>
            <w:r w:rsidRPr="00753D43">
              <w:rPr>
                <w:rFonts w:ascii="Arial" w:eastAsia="Times New Roman" w:hAnsi="Arial" w:cs="Arial"/>
                <w:sz w:val="22"/>
                <w:szCs w:val="22"/>
              </w:rPr>
              <w:t>%</w:t>
            </w:r>
          </w:p>
        </w:tc>
      </w:tr>
      <w:tr w:rsidR="0045657B" w:rsidRPr="00A47686" w14:paraId="134494B3" w14:textId="77777777" w:rsidTr="008369D5">
        <w:trPr>
          <w:trHeight w:val="584"/>
        </w:trPr>
        <w:tc>
          <w:tcPr>
            <w:tcW w:w="3300" w:type="dxa"/>
            <w:vMerge/>
            <w:tcBorders>
              <w:top w:val="single" w:sz="24" w:space="0" w:color="FFFFFF"/>
              <w:left w:val="single" w:sz="8" w:space="0" w:color="FFFFFF"/>
              <w:bottom w:val="single" w:sz="8" w:space="0" w:color="FFFFFF"/>
              <w:right w:val="single" w:sz="8" w:space="0" w:color="FFFFFF"/>
            </w:tcBorders>
            <w:vAlign w:val="center"/>
            <w:hideMark/>
          </w:tcPr>
          <w:p w14:paraId="2B959599" w14:textId="77777777" w:rsidR="0045657B" w:rsidRPr="00A47686"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498E80C" w14:textId="77777777" w:rsidR="0045657B" w:rsidRPr="00753D43" w:rsidRDefault="0045657B" w:rsidP="00402A38">
            <w:pPr>
              <w:rPr>
                <w:rFonts w:ascii="Arial" w:hAnsi="Arial" w:cs="Arial"/>
                <w:sz w:val="22"/>
                <w:szCs w:val="22"/>
              </w:rPr>
            </w:pPr>
            <w:r w:rsidRPr="00753D43">
              <w:rPr>
                <w:rFonts w:ascii="Arial" w:hAnsi="Arial" w:cs="Arial"/>
                <w:sz w:val="22"/>
                <w:szCs w:val="22"/>
              </w:rPr>
              <w:t>BME</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90AE98E"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37.6%</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2AEB437" w14:textId="77777777" w:rsidR="0045657B" w:rsidRPr="00753D43" w:rsidRDefault="0045657B" w:rsidP="00402A38">
            <w:pPr>
              <w:rPr>
                <w:rFonts w:ascii="Arial" w:eastAsia="Times New Roman" w:hAnsi="Arial" w:cs="Arial"/>
                <w:sz w:val="22"/>
                <w:szCs w:val="22"/>
                <w:highlight w:val="yellow"/>
              </w:rPr>
            </w:pPr>
            <w:r w:rsidRPr="00753D43">
              <w:rPr>
                <w:rFonts w:ascii="Arial" w:eastAsia="Times New Roman" w:hAnsi="Arial" w:cs="Arial"/>
                <w:sz w:val="22"/>
                <w:szCs w:val="22"/>
              </w:rPr>
              <w:t>31.8%</w:t>
            </w:r>
          </w:p>
        </w:tc>
      </w:tr>
      <w:bookmarkEnd w:id="7"/>
    </w:tbl>
    <w:p w14:paraId="6F7BCE70" w14:textId="77777777" w:rsidR="00092DC4" w:rsidRDefault="00092DC4" w:rsidP="0045657B">
      <w:pPr>
        <w:pStyle w:val="NoSpacing"/>
        <w:jc w:val="both"/>
        <w:rPr>
          <w:rFonts w:ascii="Arial" w:hAnsi="Arial" w:cs="Arial"/>
          <w:sz w:val="22"/>
          <w:szCs w:val="22"/>
        </w:rPr>
      </w:pPr>
    </w:p>
    <w:p w14:paraId="66D79A3A" w14:textId="6717756C" w:rsidR="0045657B" w:rsidRPr="009B6A54" w:rsidRDefault="0045657B" w:rsidP="009B6A54">
      <w:pPr>
        <w:pStyle w:val="NoSpacing"/>
        <w:rPr>
          <w:rFonts w:ascii="Arial" w:hAnsi="Arial" w:cs="Arial"/>
          <w:sz w:val="22"/>
          <w:szCs w:val="22"/>
        </w:rPr>
      </w:pPr>
      <w:r w:rsidRPr="00753D43">
        <w:rPr>
          <w:rFonts w:ascii="Arial" w:hAnsi="Arial" w:cs="Arial"/>
          <w:sz w:val="22"/>
          <w:szCs w:val="22"/>
        </w:rPr>
        <w:t xml:space="preserve">31.8% of BME </w:t>
      </w:r>
      <w:bookmarkStart w:id="8" w:name="_Hlk140840517"/>
      <w:r w:rsidR="006B3F6A" w:rsidRPr="00753D43">
        <w:rPr>
          <w:rFonts w:ascii="Arial" w:hAnsi="Arial" w:cs="Arial"/>
          <w:sz w:val="22"/>
          <w:szCs w:val="22"/>
        </w:rPr>
        <w:t>staff</w:t>
      </w:r>
      <w:bookmarkEnd w:id="8"/>
      <w:r w:rsidR="006B3F6A" w:rsidRPr="00753D43">
        <w:rPr>
          <w:rFonts w:ascii="Arial" w:hAnsi="Arial" w:cs="Arial"/>
          <w:sz w:val="22"/>
          <w:szCs w:val="22"/>
        </w:rPr>
        <w:t xml:space="preserve"> </w:t>
      </w:r>
      <w:r w:rsidRPr="00753D43">
        <w:rPr>
          <w:rFonts w:ascii="Arial" w:hAnsi="Arial" w:cs="Arial"/>
          <w:sz w:val="22"/>
          <w:szCs w:val="22"/>
        </w:rPr>
        <w:t>have experienced harassment, bullying or abuse from patients, relatives or the public in the last 12 months, compared to 28.</w:t>
      </w:r>
      <w:r w:rsidR="00AD7CBB">
        <w:rPr>
          <w:rFonts w:ascii="Arial" w:hAnsi="Arial" w:cs="Arial"/>
          <w:sz w:val="22"/>
          <w:szCs w:val="22"/>
        </w:rPr>
        <w:t>3</w:t>
      </w:r>
      <w:r w:rsidRPr="00753D43">
        <w:rPr>
          <w:rFonts w:ascii="Arial" w:hAnsi="Arial" w:cs="Arial"/>
          <w:sz w:val="22"/>
          <w:szCs w:val="22"/>
        </w:rPr>
        <w:t xml:space="preserve">% of white </w:t>
      </w:r>
      <w:r w:rsidR="006B3F6A" w:rsidRPr="00753D43">
        <w:rPr>
          <w:rFonts w:ascii="Arial" w:hAnsi="Arial" w:cs="Arial"/>
          <w:sz w:val="22"/>
          <w:szCs w:val="22"/>
        </w:rPr>
        <w:t>staff</w:t>
      </w:r>
      <w:r w:rsidRPr="00753D43">
        <w:rPr>
          <w:rFonts w:ascii="Arial" w:hAnsi="Arial" w:cs="Arial"/>
          <w:sz w:val="22"/>
          <w:szCs w:val="22"/>
        </w:rPr>
        <w:t xml:space="preserve">. </w:t>
      </w:r>
      <w:r w:rsidR="008369D5" w:rsidRPr="00753D43">
        <w:rPr>
          <w:rFonts w:ascii="Arial" w:hAnsi="Arial" w:cs="Arial"/>
          <w:sz w:val="22"/>
          <w:szCs w:val="22"/>
        </w:rPr>
        <w:t>Since the previous year</w:t>
      </w:r>
      <w:r w:rsidR="00753D43" w:rsidRPr="00753D43">
        <w:rPr>
          <w:rFonts w:ascii="Arial" w:hAnsi="Arial" w:cs="Arial"/>
          <w:sz w:val="22"/>
          <w:szCs w:val="22"/>
        </w:rPr>
        <w:t>, t</w:t>
      </w:r>
      <w:r w:rsidRPr="00753D43">
        <w:rPr>
          <w:rFonts w:ascii="Arial" w:hAnsi="Arial" w:cs="Arial"/>
          <w:sz w:val="22"/>
          <w:szCs w:val="22"/>
        </w:rPr>
        <w:t>he figures have decreased for both ethnic categories</w:t>
      </w:r>
      <w:r w:rsidR="008369D5" w:rsidRPr="00753D43">
        <w:rPr>
          <w:rFonts w:ascii="Arial" w:hAnsi="Arial" w:cs="Arial"/>
          <w:sz w:val="22"/>
          <w:szCs w:val="22"/>
        </w:rPr>
        <w:t>,</w:t>
      </w:r>
      <w:r w:rsidRPr="00753D43">
        <w:rPr>
          <w:rFonts w:ascii="Arial" w:hAnsi="Arial" w:cs="Arial"/>
          <w:sz w:val="22"/>
          <w:szCs w:val="22"/>
        </w:rPr>
        <w:t xml:space="preserve"> white (1.</w:t>
      </w:r>
      <w:r w:rsidR="00AD7CBB">
        <w:rPr>
          <w:rFonts w:ascii="Arial" w:hAnsi="Arial" w:cs="Arial"/>
          <w:sz w:val="22"/>
          <w:szCs w:val="22"/>
        </w:rPr>
        <w:t>6</w:t>
      </w:r>
      <w:r w:rsidRPr="00753D43">
        <w:rPr>
          <w:rFonts w:ascii="Arial" w:hAnsi="Arial" w:cs="Arial"/>
          <w:sz w:val="22"/>
          <w:szCs w:val="22"/>
        </w:rPr>
        <w:t>%) and BME (5.8%)</w:t>
      </w:r>
      <w:r w:rsidR="00753D43" w:rsidRPr="00753D43">
        <w:rPr>
          <w:rFonts w:ascii="Arial" w:hAnsi="Arial" w:cs="Arial"/>
          <w:sz w:val="22"/>
          <w:szCs w:val="22"/>
        </w:rPr>
        <w:t>.</w:t>
      </w:r>
    </w:p>
    <w:p w14:paraId="7D6245D4" w14:textId="77777777" w:rsidR="00753D43" w:rsidRDefault="00753D43" w:rsidP="0045657B">
      <w:pPr>
        <w:pStyle w:val="NoSpacing"/>
        <w:jc w:val="both"/>
        <w:rPr>
          <w:rFonts w:ascii="Arial" w:hAnsi="Arial" w:cs="Arial"/>
        </w:rPr>
      </w:pPr>
    </w:p>
    <w:tbl>
      <w:tblPr>
        <w:tblW w:w="10634" w:type="dxa"/>
        <w:tblCellMar>
          <w:left w:w="0" w:type="dxa"/>
          <w:right w:w="0" w:type="dxa"/>
        </w:tblCellMar>
        <w:tblLook w:val="0420" w:firstRow="1" w:lastRow="0" w:firstColumn="0" w:lastColumn="0" w:noHBand="0" w:noVBand="1"/>
      </w:tblPr>
      <w:tblGrid>
        <w:gridCol w:w="3290"/>
        <w:gridCol w:w="2448"/>
        <w:gridCol w:w="2448"/>
        <w:gridCol w:w="2448"/>
      </w:tblGrid>
      <w:tr w:rsidR="0045657B" w:rsidRPr="00FA065E" w14:paraId="130E488D" w14:textId="77777777" w:rsidTr="009334B6">
        <w:trPr>
          <w:trHeight w:val="508"/>
        </w:trPr>
        <w:tc>
          <w:tcPr>
            <w:tcW w:w="329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A73691D"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6</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89448AF" w14:textId="77777777" w:rsidR="0045657B" w:rsidRPr="00FA065E"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BB568E4"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2021</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985F4D5"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2022</w:t>
            </w:r>
          </w:p>
        </w:tc>
      </w:tr>
      <w:tr w:rsidR="0045657B" w:rsidRPr="00FA065E" w14:paraId="04DE8AA5" w14:textId="77777777" w:rsidTr="0045657B">
        <w:trPr>
          <w:trHeight w:val="584"/>
        </w:trPr>
        <w:tc>
          <w:tcPr>
            <w:tcW w:w="3290"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021367" w14:textId="77777777" w:rsidR="0045657B" w:rsidRPr="00A47686" w:rsidRDefault="0045657B" w:rsidP="00402A38">
            <w:pPr>
              <w:rPr>
                <w:rFonts w:ascii="Arial" w:eastAsia="Times New Roman" w:hAnsi="Arial" w:cs="Arial"/>
                <w:b/>
                <w:bCs/>
                <w:sz w:val="36"/>
                <w:szCs w:val="36"/>
              </w:rPr>
            </w:pPr>
            <w:r w:rsidRPr="00A47686">
              <w:rPr>
                <w:rFonts w:ascii="Arial" w:hAnsi="Arial" w:cs="Arial"/>
                <w:b/>
                <w:bCs/>
              </w:rPr>
              <w:t>Percentage of staff experiencing harassment, bullying or abuse from staff in last 12 months</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8AF2984" w14:textId="77777777" w:rsidR="0045657B" w:rsidRPr="00753D43" w:rsidRDefault="0045657B" w:rsidP="00402A38">
            <w:pPr>
              <w:rPr>
                <w:rFonts w:ascii="Arial" w:hAnsi="Arial" w:cs="Arial"/>
                <w:sz w:val="22"/>
                <w:szCs w:val="22"/>
              </w:rPr>
            </w:pPr>
            <w:r w:rsidRPr="00753D43">
              <w:rPr>
                <w:rFonts w:ascii="Arial" w:hAnsi="Arial" w:cs="Arial"/>
                <w:sz w:val="22"/>
                <w:szCs w:val="22"/>
              </w:rPr>
              <w:t>White</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2D8714A"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26.5%</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47EF089" w14:textId="77777777" w:rsidR="0045657B" w:rsidRPr="00753D43" w:rsidRDefault="0045657B" w:rsidP="00402A38">
            <w:pPr>
              <w:rPr>
                <w:rFonts w:ascii="Arial" w:eastAsia="Times New Roman" w:hAnsi="Arial" w:cs="Arial"/>
                <w:sz w:val="22"/>
                <w:szCs w:val="22"/>
                <w:highlight w:val="yellow"/>
              </w:rPr>
            </w:pPr>
            <w:r w:rsidRPr="00753D43">
              <w:rPr>
                <w:rFonts w:ascii="Arial" w:eastAsia="Times New Roman" w:hAnsi="Arial" w:cs="Arial"/>
                <w:sz w:val="22"/>
                <w:szCs w:val="22"/>
              </w:rPr>
              <w:t>16.5%</w:t>
            </w:r>
          </w:p>
        </w:tc>
      </w:tr>
      <w:tr w:rsidR="0045657B" w:rsidRPr="00FA065E" w14:paraId="19390448" w14:textId="77777777" w:rsidTr="0045657B">
        <w:trPr>
          <w:trHeight w:val="58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8798B5E" w14:textId="77777777" w:rsidR="0045657B" w:rsidRPr="00A47686"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9E49487" w14:textId="77777777" w:rsidR="0045657B" w:rsidRPr="00753D43" w:rsidRDefault="0045657B" w:rsidP="00402A38">
            <w:pPr>
              <w:rPr>
                <w:rFonts w:ascii="Arial" w:hAnsi="Arial" w:cs="Arial"/>
                <w:sz w:val="22"/>
                <w:szCs w:val="22"/>
              </w:rPr>
            </w:pPr>
            <w:r w:rsidRPr="00753D43">
              <w:rPr>
                <w:rFonts w:ascii="Arial" w:hAnsi="Arial" w:cs="Arial"/>
                <w:sz w:val="22"/>
                <w:szCs w:val="22"/>
              </w:rPr>
              <w:t>BME</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122D0C9"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34.6%</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FB0B5BD" w14:textId="77777777" w:rsidR="0045657B" w:rsidRPr="00753D43" w:rsidRDefault="0045657B" w:rsidP="00402A38">
            <w:pPr>
              <w:rPr>
                <w:rFonts w:ascii="Arial" w:eastAsia="Times New Roman" w:hAnsi="Arial" w:cs="Arial"/>
                <w:sz w:val="22"/>
                <w:szCs w:val="22"/>
                <w:highlight w:val="yellow"/>
              </w:rPr>
            </w:pPr>
            <w:r w:rsidRPr="00753D43">
              <w:rPr>
                <w:rFonts w:ascii="Arial" w:eastAsia="Times New Roman" w:hAnsi="Arial" w:cs="Arial"/>
                <w:sz w:val="22"/>
                <w:szCs w:val="22"/>
              </w:rPr>
              <w:t>22.25%</w:t>
            </w:r>
          </w:p>
        </w:tc>
      </w:tr>
    </w:tbl>
    <w:p w14:paraId="7E01D05A" w14:textId="77777777" w:rsidR="00092DC4" w:rsidRDefault="00092DC4" w:rsidP="0045657B">
      <w:pPr>
        <w:pStyle w:val="NoSpacing"/>
        <w:rPr>
          <w:rFonts w:ascii="Arial" w:hAnsi="Arial" w:cs="Arial"/>
          <w:sz w:val="22"/>
          <w:szCs w:val="22"/>
        </w:rPr>
      </w:pPr>
    </w:p>
    <w:p w14:paraId="1CA688DC" w14:textId="0A00916C" w:rsidR="00753D43" w:rsidRPr="009B6A54" w:rsidRDefault="0045657B" w:rsidP="0045657B">
      <w:pPr>
        <w:pStyle w:val="NoSpacing"/>
        <w:rPr>
          <w:rFonts w:ascii="Arial" w:hAnsi="Arial" w:cs="Arial"/>
          <w:sz w:val="22"/>
          <w:szCs w:val="22"/>
        </w:rPr>
      </w:pPr>
      <w:r w:rsidRPr="00753D43">
        <w:rPr>
          <w:rFonts w:ascii="Arial" w:hAnsi="Arial" w:cs="Arial"/>
          <w:sz w:val="22"/>
          <w:szCs w:val="22"/>
        </w:rPr>
        <w:t xml:space="preserve">22.25% of BME </w:t>
      </w:r>
      <w:r w:rsidR="006B3F6A" w:rsidRPr="00753D43">
        <w:rPr>
          <w:rFonts w:ascii="Arial" w:hAnsi="Arial" w:cs="Arial"/>
          <w:sz w:val="22"/>
          <w:szCs w:val="22"/>
        </w:rPr>
        <w:t>staff</w:t>
      </w:r>
      <w:r w:rsidRPr="00753D43">
        <w:rPr>
          <w:rFonts w:ascii="Arial" w:hAnsi="Arial" w:cs="Arial"/>
          <w:sz w:val="22"/>
          <w:szCs w:val="22"/>
        </w:rPr>
        <w:t xml:space="preserve"> have experienced harassment and bullying abuse from staff in the last 12 months, compared to 16.5% of white </w:t>
      </w:r>
      <w:r w:rsidR="006B3F6A" w:rsidRPr="00753D43">
        <w:rPr>
          <w:rFonts w:ascii="Arial" w:hAnsi="Arial" w:cs="Arial"/>
          <w:sz w:val="22"/>
          <w:szCs w:val="22"/>
        </w:rPr>
        <w:t>staff</w:t>
      </w:r>
      <w:r w:rsidRPr="00753D43">
        <w:rPr>
          <w:rFonts w:ascii="Arial" w:hAnsi="Arial" w:cs="Arial"/>
          <w:sz w:val="22"/>
          <w:szCs w:val="22"/>
        </w:rPr>
        <w:t>. The figures have decreased for both ethnic categories White (10%) and BME (12.35%)</w:t>
      </w:r>
    </w:p>
    <w:p w14:paraId="1FDECE6A" w14:textId="77777777" w:rsidR="009334B6" w:rsidRDefault="009334B6" w:rsidP="0045657B">
      <w:pPr>
        <w:pStyle w:val="NoSpacing"/>
        <w:rPr>
          <w:rFonts w:ascii="Arial" w:hAnsi="Arial" w:cs="Arial"/>
          <w:highlight w:val="yellow"/>
        </w:rPr>
      </w:pPr>
    </w:p>
    <w:tbl>
      <w:tblPr>
        <w:tblW w:w="10644" w:type="dxa"/>
        <w:tblInd w:w="-10" w:type="dxa"/>
        <w:tblCellMar>
          <w:left w:w="0" w:type="dxa"/>
          <w:right w:w="0" w:type="dxa"/>
        </w:tblCellMar>
        <w:tblLook w:val="0420" w:firstRow="1" w:lastRow="0" w:firstColumn="0" w:lastColumn="0" w:noHBand="0" w:noVBand="1"/>
      </w:tblPr>
      <w:tblGrid>
        <w:gridCol w:w="3300"/>
        <w:gridCol w:w="2448"/>
        <w:gridCol w:w="2448"/>
        <w:gridCol w:w="2448"/>
      </w:tblGrid>
      <w:tr w:rsidR="0045657B" w:rsidRPr="00FA065E" w14:paraId="3AF0F9AE" w14:textId="77777777" w:rsidTr="009334B6">
        <w:trPr>
          <w:trHeight w:val="374"/>
        </w:trPr>
        <w:tc>
          <w:tcPr>
            <w:tcW w:w="33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D580F9D" w14:textId="210725FE"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7</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65BE5DB" w14:textId="77777777" w:rsidR="0045657B" w:rsidRPr="00FA065E"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E8DEB15"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2021</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5806D61"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2022</w:t>
            </w:r>
          </w:p>
        </w:tc>
      </w:tr>
      <w:tr w:rsidR="0045657B" w:rsidRPr="00FA065E" w14:paraId="4463A684" w14:textId="77777777" w:rsidTr="00753D43">
        <w:trPr>
          <w:trHeight w:val="584"/>
        </w:trPr>
        <w:tc>
          <w:tcPr>
            <w:tcW w:w="3300"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9A76113" w14:textId="77777777" w:rsidR="0045657B" w:rsidRPr="00A47686" w:rsidRDefault="0045657B" w:rsidP="00402A38">
            <w:pPr>
              <w:rPr>
                <w:rFonts w:ascii="Arial" w:hAnsi="Arial" w:cs="Arial"/>
                <w:b/>
                <w:bCs/>
              </w:rPr>
            </w:pPr>
            <w:r w:rsidRPr="00A47686">
              <w:rPr>
                <w:rFonts w:ascii="Arial" w:hAnsi="Arial" w:cs="Arial"/>
                <w:b/>
                <w:bCs/>
              </w:rPr>
              <w:t>Percentage believing that trust provides equal opportunities for career progression or promotion</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5440014" w14:textId="77777777" w:rsidR="0045657B" w:rsidRPr="00753D43" w:rsidRDefault="0045657B" w:rsidP="00402A38">
            <w:pPr>
              <w:rPr>
                <w:rFonts w:ascii="Arial" w:hAnsi="Arial" w:cs="Arial"/>
                <w:sz w:val="22"/>
                <w:szCs w:val="22"/>
              </w:rPr>
            </w:pPr>
            <w:r w:rsidRPr="00753D43">
              <w:rPr>
                <w:rFonts w:ascii="Arial" w:hAnsi="Arial" w:cs="Arial"/>
                <w:sz w:val="22"/>
                <w:szCs w:val="22"/>
              </w:rPr>
              <w:t>White</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CC3C181" w14:textId="77777777" w:rsidR="0045657B" w:rsidRPr="00753D43" w:rsidRDefault="0045657B" w:rsidP="00402A38">
            <w:pPr>
              <w:rPr>
                <w:rFonts w:ascii="Arial" w:hAnsi="Arial" w:cs="Arial"/>
                <w:sz w:val="22"/>
                <w:szCs w:val="22"/>
              </w:rPr>
            </w:pPr>
            <w:r w:rsidRPr="00753D43">
              <w:rPr>
                <w:rFonts w:ascii="Arial" w:hAnsi="Arial" w:cs="Arial"/>
                <w:sz w:val="22"/>
                <w:szCs w:val="22"/>
              </w:rPr>
              <w:t>56.4%</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CE33B38" w14:textId="77777777" w:rsidR="0045657B" w:rsidRPr="00753D43" w:rsidRDefault="0045657B" w:rsidP="00402A38">
            <w:pPr>
              <w:rPr>
                <w:rFonts w:ascii="Arial" w:hAnsi="Arial" w:cs="Arial"/>
                <w:sz w:val="22"/>
                <w:szCs w:val="22"/>
              </w:rPr>
            </w:pPr>
            <w:r w:rsidRPr="00753D43">
              <w:rPr>
                <w:rFonts w:ascii="Arial" w:hAnsi="Arial" w:cs="Arial"/>
                <w:sz w:val="22"/>
                <w:szCs w:val="22"/>
              </w:rPr>
              <w:t>51%</w:t>
            </w:r>
          </w:p>
        </w:tc>
      </w:tr>
      <w:tr w:rsidR="0045657B" w:rsidRPr="00FA065E" w14:paraId="5A368AD8" w14:textId="77777777" w:rsidTr="00753D43">
        <w:trPr>
          <w:trHeight w:val="584"/>
        </w:trPr>
        <w:tc>
          <w:tcPr>
            <w:tcW w:w="3300" w:type="dxa"/>
            <w:vMerge/>
            <w:tcBorders>
              <w:top w:val="single" w:sz="24" w:space="0" w:color="FFFFFF"/>
              <w:left w:val="single" w:sz="8" w:space="0" w:color="FFFFFF"/>
              <w:bottom w:val="single" w:sz="8" w:space="0" w:color="FFFFFF"/>
              <w:right w:val="single" w:sz="8" w:space="0" w:color="FFFFFF"/>
            </w:tcBorders>
            <w:vAlign w:val="center"/>
            <w:hideMark/>
          </w:tcPr>
          <w:p w14:paraId="3DF7E142" w14:textId="77777777" w:rsidR="0045657B" w:rsidRPr="00A47686" w:rsidRDefault="0045657B" w:rsidP="00402A38">
            <w:pPr>
              <w:rPr>
                <w:rFonts w:ascii="Arial" w:hAnsi="Arial" w:cs="Arial"/>
                <w:b/>
                <w:bCs/>
              </w:rPr>
            </w:pP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9896981" w14:textId="77777777" w:rsidR="0045657B" w:rsidRPr="00753D43" w:rsidRDefault="0045657B" w:rsidP="00402A38">
            <w:pPr>
              <w:rPr>
                <w:rFonts w:ascii="Arial" w:hAnsi="Arial" w:cs="Arial"/>
                <w:sz w:val="22"/>
                <w:szCs w:val="22"/>
              </w:rPr>
            </w:pPr>
            <w:r w:rsidRPr="00753D43">
              <w:rPr>
                <w:rFonts w:ascii="Arial" w:hAnsi="Arial" w:cs="Arial"/>
                <w:sz w:val="22"/>
                <w:szCs w:val="22"/>
              </w:rPr>
              <w:t>BME</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7A17379" w14:textId="77777777" w:rsidR="0045657B" w:rsidRPr="00753D43" w:rsidRDefault="0045657B" w:rsidP="00402A38">
            <w:pPr>
              <w:rPr>
                <w:rFonts w:ascii="Arial" w:hAnsi="Arial" w:cs="Arial"/>
                <w:sz w:val="22"/>
                <w:szCs w:val="22"/>
              </w:rPr>
            </w:pPr>
            <w:r w:rsidRPr="00753D43">
              <w:rPr>
                <w:rFonts w:ascii="Arial" w:hAnsi="Arial" w:cs="Arial"/>
                <w:sz w:val="22"/>
                <w:szCs w:val="22"/>
              </w:rPr>
              <w:t>35.7%</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7D7BB3A" w14:textId="77777777" w:rsidR="0045657B" w:rsidRPr="00753D43" w:rsidRDefault="0045657B" w:rsidP="00402A38">
            <w:pPr>
              <w:rPr>
                <w:rFonts w:ascii="Arial" w:hAnsi="Arial" w:cs="Arial"/>
                <w:sz w:val="22"/>
                <w:szCs w:val="22"/>
              </w:rPr>
            </w:pPr>
            <w:r w:rsidRPr="00753D43">
              <w:rPr>
                <w:rFonts w:ascii="Arial" w:hAnsi="Arial" w:cs="Arial"/>
                <w:sz w:val="22"/>
                <w:szCs w:val="22"/>
              </w:rPr>
              <w:t>41.1%</w:t>
            </w:r>
          </w:p>
        </w:tc>
      </w:tr>
    </w:tbl>
    <w:p w14:paraId="5957D81C" w14:textId="77777777" w:rsidR="00092DC4" w:rsidRDefault="00092DC4" w:rsidP="0045657B">
      <w:pPr>
        <w:rPr>
          <w:rFonts w:ascii="Arial" w:hAnsi="Arial" w:cs="Arial"/>
          <w:sz w:val="22"/>
          <w:szCs w:val="22"/>
        </w:rPr>
      </w:pPr>
      <w:bookmarkStart w:id="9" w:name="_Hlk138684514"/>
    </w:p>
    <w:p w14:paraId="319C2EF2" w14:textId="52D77FE6" w:rsidR="00092DC4" w:rsidRDefault="0045657B" w:rsidP="0045657B">
      <w:pPr>
        <w:rPr>
          <w:rFonts w:ascii="Arial" w:hAnsi="Arial" w:cs="Arial"/>
          <w:sz w:val="22"/>
          <w:szCs w:val="22"/>
        </w:rPr>
      </w:pPr>
      <w:r w:rsidRPr="00753D43">
        <w:rPr>
          <w:rFonts w:ascii="Arial" w:hAnsi="Arial" w:cs="Arial"/>
          <w:sz w:val="22"/>
          <w:szCs w:val="22"/>
        </w:rPr>
        <w:t xml:space="preserve">41.1% of BME </w:t>
      </w:r>
      <w:r w:rsidR="006B3F6A" w:rsidRPr="00753D43">
        <w:rPr>
          <w:rFonts w:ascii="Arial" w:hAnsi="Arial" w:cs="Arial"/>
          <w:sz w:val="22"/>
          <w:szCs w:val="22"/>
        </w:rPr>
        <w:t>staff</w:t>
      </w:r>
      <w:r w:rsidRPr="00753D43">
        <w:rPr>
          <w:rFonts w:ascii="Arial" w:hAnsi="Arial" w:cs="Arial"/>
          <w:sz w:val="22"/>
          <w:szCs w:val="22"/>
        </w:rPr>
        <w:t xml:space="preserve"> believe that the trust provides equal opportunities for career progression or promotion, compared with 51% of white </w:t>
      </w:r>
      <w:r w:rsidR="006B3F6A" w:rsidRPr="00753D43">
        <w:rPr>
          <w:rFonts w:ascii="Arial" w:hAnsi="Arial" w:cs="Arial"/>
          <w:sz w:val="22"/>
          <w:szCs w:val="22"/>
        </w:rPr>
        <w:t>staff</w:t>
      </w:r>
      <w:r w:rsidRPr="00753D43">
        <w:rPr>
          <w:rFonts w:ascii="Arial" w:hAnsi="Arial" w:cs="Arial"/>
          <w:sz w:val="22"/>
          <w:szCs w:val="22"/>
        </w:rPr>
        <w:t>. The figure for white staff has decreased by 7.7% however has increased by 5.4% for BME.</w:t>
      </w:r>
      <w:bookmarkEnd w:id="9"/>
    </w:p>
    <w:p w14:paraId="6AB81D32" w14:textId="77777777" w:rsidR="009334B6" w:rsidRDefault="009334B6" w:rsidP="0045657B">
      <w:pPr>
        <w:rPr>
          <w:rFonts w:ascii="Arial" w:hAnsi="Arial" w:cs="Arial"/>
          <w:sz w:val="22"/>
          <w:szCs w:val="22"/>
        </w:rPr>
      </w:pPr>
    </w:p>
    <w:tbl>
      <w:tblPr>
        <w:tblW w:w="10644" w:type="dxa"/>
        <w:tblInd w:w="-10" w:type="dxa"/>
        <w:tblCellMar>
          <w:left w:w="0" w:type="dxa"/>
          <w:right w:w="0" w:type="dxa"/>
        </w:tblCellMar>
        <w:tblLook w:val="0420" w:firstRow="1" w:lastRow="0" w:firstColumn="0" w:lastColumn="0" w:noHBand="0" w:noVBand="1"/>
      </w:tblPr>
      <w:tblGrid>
        <w:gridCol w:w="3300"/>
        <w:gridCol w:w="2448"/>
        <w:gridCol w:w="2448"/>
        <w:gridCol w:w="2448"/>
      </w:tblGrid>
      <w:tr w:rsidR="0045657B" w:rsidRPr="00FA065E" w14:paraId="4C0F5C3D" w14:textId="77777777" w:rsidTr="009334B6">
        <w:trPr>
          <w:trHeight w:val="436"/>
        </w:trPr>
        <w:tc>
          <w:tcPr>
            <w:tcW w:w="33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317867E"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Indicator</w:t>
            </w:r>
            <w:r>
              <w:rPr>
                <w:rFonts w:ascii="Calibri" w:eastAsia="Times New Roman" w:hAnsi="Calibri" w:cs="Calibri"/>
                <w:b/>
                <w:bCs/>
                <w:color w:val="FFFFFF" w:themeColor="light1"/>
                <w:kern w:val="24"/>
                <w:szCs w:val="24"/>
              </w:rPr>
              <w:t xml:space="preserve"> 8</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88F7E84" w14:textId="77777777" w:rsidR="0045657B" w:rsidRPr="00FA065E"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3F579A0"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2021</w:t>
            </w:r>
          </w:p>
        </w:tc>
        <w:tc>
          <w:tcPr>
            <w:tcW w:w="2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B47C9A4" w14:textId="77777777" w:rsidR="0045657B" w:rsidRPr="00FA065E" w:rsidRDefault="0045657B" w:rsidP="00402A38">
            <w:pPr>
              <w:rPr>
                <w:rFonts w:ascii="Arial" w:eastAsia="Times New Roman" w:hAnsi="Arial" w:cs="Arial"/>
                <w:sz w:val="36"/>
                <w:szCs w:val="36"/>
              </w:rPr>
            </w:pPr>
            <w:r>
              <w:rPr>
                <w:rFonts w:ascii="Calibri" w:eastAsia="Times New Roman" w:hAnsi="Calibri" w:cs="Calibri"/>
                <w:b/>
                <w:bCs/>
                <w:color w:val="FFFFFF" w:themeColor="light1"/>
                <w:kern w:val="24"/>
                <w:szCs w:val="24"/>
              </w:rPr>
              <w:t>2022</w:t>
            </w:r>
          </w:p>
        </w:tc>
      </w:tr>
      <w:tr w:rsidR="0045657B" w:rsidRPr="00FA065E" w14:paraId="592C19C1" w14:textId="77777777" w:rsidTr="00753D43">
        <w:trPr>
          <w:trHeight w:val="584"/>
        </w:trPr>
        <w:tc>
          <w:tcPr>
            <w:tcW w:w="3300"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4526AD4" w14:textId="77777777" w:rsidR="0045657B" w:rsidRPr="00FA065E" w:rsidRDefault="0045657B" w:rsidP="00402A38">
            <w:pPr>
              <w:rPr>
                <w:rFonts w:asciiTheme="minorHAnsi" w:eastAsia="Times New Roman" w:hAnsiTheme="minorHAnsi" w:cstheme="minorHAnsi"/>
                <w:b/>
                <w:bCs/>
                <w:sz w:val="36"/>
                <w:szCs w:val="36"/>
              </w:rPr>
            </w:pPr>
            <w:r w:rsidRPr="00A47686">
              <w:rPr>
                <w:rFonts w:ascii="Arial" w:hAnsi="Arial" w:cs="Arial"/>
                <w:b/>
                <w:bCs/>
              </w:rPr>
              <w:t>In the last 12 months have you personally experienced discrimination at work from any of the following? Manager/team leader or other colleagues</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8D8F23F" w14:textId="77777777" w:rsidR="0045657B" w:rsidRPr="00753D43" w:rsidRDefault="0045657B" w:rsidP="00402A38">
            <w:pPr>
              <w:rPr>
                <w:rFonts w:ascii="Arial" w:hAnsi="Arial" w:cs="Arial"/>
                <w:sz w:val="22"/>
                <w:szCs w:val="22"/>
              </w:rPr>
            </w:pPr>
            <w:r w:rsidRPr="00753D43">
              <w:rPr>
                <w:rFonts w:ascii="Arial" w:hAnsi="Arial" w:cs="Arial"/>
                <w:sz w:val="22"/>
                <w:szCs w:val="22"/>
              </w:rPr>
              <w:t>White</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5D253AB"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7.7%</w:t>
            </w:r>
          </w:p>
        </w:tc>
        <w:tc>
          <w:tcPr>
            <w:tcW w:w="2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0E0BFD4" w14:textId="051C51B8"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 xml:space="preserve">8% </w:t>
            </w:r>
          </w:p>
        </w:tc>
      </w:tr>
      <w:tr w:rsidR="0045657B" w:rsidRPr="00FA065E" w14:paraId="51BDDFE8" w14:textId="77777777" w:rsidTr="00753D43">
        <w:trPr>
          <w:trHeight w:val="584"/>
        </w:trPr>
        <w:tc>
          <w:tcPr>
            <w:tcW w:w="3300" w:type="dxa"/>
            <w:vMerge/>
            <w:tcBorders>
              <w:top w:val="single" w:sz="24" w:space="0" w:color="FFFFFF"/>
              <w:left w:val="single" w:sz="8" w:space="0" w:color="FFFFFF"/>
              <w:bottom w:val="single" w:sz="8" w:space="0" w:color="FFFFFF"/>
              <w:right w:val="single" w:sz="8" w:space="0" w:color="FFFFFF"/>
            </w:tcBorders>
            <w:vAlign w:val="center"/>
            <w:hideMark/>
          </w:tcPr>
          <w:p w14:paraId="0BE4F6FB" w14:textId="77777777" w:rsidR="0045657B" w:rsidRPr="00FA065E" w:rsidRDefault="0045657B" w:rsidP="00402A38">
            <w:pPr>
              <w:rPr>
                <w:rFonts w:ascii="Arial" w:eastAsia="Times New Roman" w:hAnsi="Arial" w:cs="Arial"/>
                <w:sz w:val="36"/>
                <w:szCs w:val="36"/>
              </w:rPr>
            </w:pP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9E3A3F1" w14:textId="77777777" w:rsidR="0045657B" w:rsidRPr="00753D43" w:rsidRDefault="0045657B" w:rsidP="00402A38">
            <w:pPr>
              <w:rPr>
                <w:rFonts w:ascii="Arial" w:hAnsi="Arial" w:cs="Arial"/>
                <w:sz w:val="22"/>
                <w:szCs w:val="22"/>
              </w:rPr>
            </w:pPr>
            <w:r w:rsidRPr="00753D43">
              <w:rPr>
                <w:rFonts w:ascii="Arial" w:hAnsi="Arial" w:cs="Arial"/>
                <w:sz w:val="22"/>
                <w:szCs w:val="22"/>
              </w:rPr>
              <w:t>BME</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D154D8F"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24.9%</w:t>
            </w:r>
          </w:p>
        </w:tc>
        <w:tc>
          <w:tcPr>
            <w:tcW w:w="2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54D4E34" w14:textId="2F1592A3" w:rsidR="0045657B" w:rsidRPr="00753D43" w:rsidRDefault="0045657B" w:rsidP="00402A38">
            <w:pPr>
              <w:rPr>
                <w:rFonts w:ascii="Arial" w:eastAsia="Times New Roman" w:hAnsi="Arial" w:cs="Arial"/>
                <w:sz w:val="22"/>
                <w:szCs w:val="22"/>
              </w:rPr>
            </w:pPr>
            <w:r w:rsidRPr="00753D43">
              <w:rPr>
                <w:rFonts w:ascii="Arial" w:eastAsia="Times New Roman" w:hAnsi="Arial" w:cs="Arial"/>
                <w:sz w:val="22"/>
                <w:szCs w:val="22"/>
              </w:rPr>
              <w:t>2</w:t>
            </w:r>
            <w:r w:rsidR="00AD7CBB">
              <w:rPr>
                <w:rFonts w:ascii="Arial" w:eastAsia="Times New Roman" w:hAnsi="Arial" w:cs="Arial"/>
                <w:sz w:val="22"/>
                <w:szCs w:val="22"/>
              </w:rPr>
              <w:t>4</w:t>
            </w:r>
            <w:r w:rsidRPr="00753D43">
              <w:rPr>
                <w:rFonts w:ascii="Arial" w:eastAsia="Times New Roman" w:hAnsi="Arial" w:cs="Arial"/>
                <w:sz w:val="22"/>
                <w:szCs w:val="22"/>
              </w:rPr>
              <w:t>%</w:t>
            </w:r>
          </w:p>
        </w:tc>
      </w:tr>
    </w:tbl>
    <w:p w14:paraId="7170C620" w14:textId="77777777" w:rsidR="00092DC4" w:rsidRDefault="00092DC4" w:rsidP="0045657B">
      <w:pPr>
        <w:jc w:val="both"/>
        <w:rPr>
          <w:rFonts w:ascii="Arial" w:hAnsi="Arial" w:cs="Arial"/>
          <w:sz w:val="22"/>
          <w:szCs w:val="22"/>
        </w:rPr>
      </w:pPr>
      <w:bookmarkStart w:id="10" w:name="_Hlk138684555"/>
    </w:p>
    <w:p w14:paraId="18F13333" w14:textId="485EF1FD" w:rsidR="00AD7CBB" w:rsidRDefault="0045657B" w:rsidP="00C72AE2">
      <w:pPr>
        <w:rPr>
          <w:rFonts w:ascii="Arial" w:hAnsi="Arial" w:cs="Arial"/>
          <w:sz w:val="22"/>
          <w:szCs w:val="22"/>
        </w:rPr>
      </w:pPr>
      <w:r w:rsidRPr="00753D43">
        <w:rPr>
          <w:rFonts w:ascii="Arial" w:hAnsi="Arial" w:cs="Arial"/>
          <w:sz w:val="22"/>
          <w:szCs w:val="22"/>
        </w:rPr>
        <w:t xml:space="preserve">BME </w:t>
      </w:r>
      <w:r w:rsidR="006B3F6A" w:rsidRPr="00753D43">
        <w:rPr>
          <w:rFonts w:ascii="Arial" w:hAnsi="Arial" w:cs="Arial"/>
          <w:sz w:val="22"/>
          <w:szCs w:val="22"/>
        </w:rPr>
        <w:t>staff</w:t>
      </w:r>
      <w:r w:rsidRPr="00753D43">
        <w:rPr>
          <w:rFonts w:ascii="Arial" w:hAnsi="Arial" w:cs="Arial"/>
          <w:sz w:val="22"/>
          <w:szCs w:val="22"/>
        </w:rPr>
        <w:t xml:space="preserve"> are </w:t>
      </w:r>
      <w:r w:rsidR="00753D43" w:rsidRPr="00753D43">
        <w:rPr>
          <w:rFonts w:ascii="Arial" w:hAnsi="Arial" w:cs="Arial"/>
          <w:sz w:val="22"/>
          <w:szCs w:val="22"/>
        </w:rPr>
        <w:t xml:space="preserve">much </w:t>
      </w:r>
      <w:r w:rsidRPr="00753D43">
        <w:rPr>
          <w:rFonts w:ascii="Arial" w:hAnsi="Arial" w:cs="Arial"/>
          <w:sz w:val="22"/>
          <w:szCs w:val="22"/>
        </w:rPr>
        <w:t xml:space="preserve">more likely to experience higher levels of discrimination from managers, team leader </w:t>
      </w:r>
      <w:r w:rsidR="00753D43" w:rsidRPr="00753D43">
        <w:rPr>
          <w:rFonts w:ascii="Arial" w:hAnsi="Arial" w:cs="Arial"/>
          <w:sz w:val="22"/>
          <w:szCs w:val="22"/>
        </w:rPr>
        <w:t>or other</w:t>
      </w:r>
      <w:r w:rsidRPr="00753D43">
        <w:rPr>
          <w:rFonts w:ascii="Arial" w:hAnsi="Arial" w:cs="Arial"/>
          <w:sz w:val="22"/>
          <w:szCs w:val="22"/>
        </w:rPr>
        <w:t xml:space="preserve"> colleagues, than their white colleagues. With 2</w:t>
      </w:r>
      <w:r w:rsidR="00AD7CBB">
        <w:rPr>
          <w:rFonts w:ascii="Arial" w:hAnsi="Arial" w:cs="Arial"/>
          <w:sz w:val="22"/>
          <w:szCs w:val="22"/>
        </w:rPr>
        <w:t>4</w:t>
      </w:r>
      <w:r w:rsidRPr="00753D43">
        <w:rPr>
          <w:rFonts w:ascii="Arial" w:hAnsi="Arial" w:cs="Arial"/>
          <w:sz w:val="22"/>
          <w:szCs w:val="22"/>
        </w:rPr>
        <w:t xml:space="preserve">% and 8% respectively. </w:t>
      </w:r>
      <w:r w:rsidR="00AD7CBB">
        <w:rPr>
          <w:rFonts w:ascii="Arial" w:hAnsi="Arial" w:cs="Arial"/>
          <w:sz w:val="22"/>
          <w:szCs w:val="22"/>
        </w:rPr>
        <w:t>Since the previous year, t</w:t>
      </w:r>
      <w:r w:rsidRPr="00753D43">
        <w:rPr>
          <w:rFonts w:ascii="Arial" w:hAnsi="Arial" w:cs="Arial"/>
          <w:sz w:val="22"/>
          <w:szCs w:val="22"/>
        </w:rPr>
        <w:t xml:space="preserve">here has been a marginal </w:t>
      </w:r>
      <w:r w:rsidR="00AD7CBB">
        <w:rPr>
          <w:rFonts w:ascii="Arial" w:hAnsi="Arial" w:cs="Arial"/>
          <w:sz w:val="22"/>
          <w:szCs w:val="22"/>
        </w:rPr>
        <w:t>increase</w:t>
      </w:r>
      <w:r w:rsidRPr="00753D43">
        <w:rPr>
          <w:rFonts w:ascii="Arial" w:hAnsi="Arial" w:cs="Arial"/>
          <w:sz w:val="22"/>
          <w:szCs w:val="22"/>
        </w:rPr>
        <w:t xml:space="preserve"> of </w:t>
      </w:r>
      <w:r w:rsidR="00AD7CBB">
        <w:rPr>
          <w:rFonts w:ascii="Arial" w:hAnsi="Arial" w:cs="Arial"/>
          <w:sz w:val="22"/>
          <w:szCs w:val="22"/>
        </w:rPr>
        <w:t>0.3</w:t>
      </w:r>
      <w:r w:rsidRPr="00753D43">
        <w:rPr>
          <w:rFonts w:ascii="Arial" w:hAnsi="Arial" w:cs="Arial"/>
          <w:sz w:val="22"/>
          <w:szCs w:val="22"/>
        </w:rPr>
        <w:t xml:space="preserve">% </w:t>
      </w:r>
      <w:r w:rsidR="00AD7CBB">
        <w:rPr>
          <w:rFonts w:ascii="Arial" w:hAnsi="Arial" w:cs="Arial"/>
          <w:sz w:val="22"/>
          <w:szCs w:val="22"/>
        </w:rPr>
        <w:t>for white staff and a d</w:t>
      </w:r>
      <w:r w:rsidR="004E63EC">
        <w:rPr>
          <w:rFonts w:ascii="Arial" w:hAnsi="Arial" w:cs="Arial"/>
          <w:sz w:val="22"/>
          <w:szCs w:val="22"/>
        </w:rPr>
        <w:t>e</w:t>
      </w:r>
      <w:r w:rsidR="00AD7CBB">
        <w:rPr>
          <w:rFonts w:ascii="Arial" w:hAnsi="Arial" w:cs="Arial"/>
          <w:sz w:val="22"/>
          <w:szCs w:val="22"/>
        </w:rPr>
        <w:t>crease of 0.9% for BME</w:t>
      </w:r>
      <w:r w:rsidR="004E63EC">
        <w:rPr>
          <w:rFonts w:ascii="Arial" w:hAnsi="Arial" w:cs="Arial"/>
          <w:sz w:val="22"/>
          <w:szCs w:val="22"/>
        </w:rPr>
        <w:t>.</w:t>
      </w:r>
    </w:p>
    <w:p w14:paraId="2C916F23" w14:textId="77777777" w:rsidR="00AD7CBB" w:rsidRDefault="00AD7CBB" w:rsidP="0045657B">
      <w:pPr>
        <w:jc w:val="both"/>
        <w:rPr>
          <w:rFonts w:ascii="Arial" w:hAnsi="Arial" w:cs="Arial"/>
          <w:sz w:val="22"/>
          <w:szCs w:val="22"/>
        </w:rPr>
      </w:pPr>
    </w:p>
    <w:tbl>
      <w:tblPr>
        <w:tblW w:w="10490" w:type="dxa"/>
        <w:tblInd w:w="144" w:type="dxa"/>
        <w:tblLayout w:type="fixed"/>
        <w:tblCellMar>
          <w:left w:w="0" w:type="dxa"/>
          <w:right w:w="0" w:type="dxa"/>
        </w:tblCellMar>
        <w:tblLook w:val="0420" w:firstRow="1" w:lastRow="0" w:firstColumn="0" w:lastColumn="0" w:noHBand="0" w:noVBand="1"/>
      </w:tblPr>
      <w:tblGrid>
        <w:gridCol w:w="2830"/>
        <w:gridCol w:w="1915"/>
        <w:gridCol w:w="1915"/>
        <w:gridCol w:w="1915"/>
        <w:gridCol w:w="1915"/>
      </w:tblGrid>
      <w:tr w:rsidR="0045657B" w:rsidRPr="00FA065E" w14:paraId="5BAB8C81" w14:textId="77777777" w:rsidTr="0045657B">
        <w:trPr>
          <w:trHeight w:val="584"/>
        </w:trPr>
        <w:tc>
          <w:tcPr>
            <w:tcW w:w="283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bookmarkEnd w:id="10"/>
          <w:p w14:paraId="0027FD50"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lastRenderedPageBreak/>
              <w:t>Indicator</w:t>
            </w:r>
            <w:r>
              <w:rPr>
                <w:rFonts w:ascii="Calibri" w:eastAsia="Times New Roman" w:hAnsi="Calibri" w:cs="Calibri"/>
                <w:b/>
                <w:bCs/>
                <w:color w:val="FFFFFF" w:themeColor="light1"/>
                <w:kern w:val="24"/>
                <w:szCs w:val="24"/>
              </w:rPr>
              <w:t xml:space="preserve"> 9</w:t>
            </w:r>
          </w:p>
        </w:tc>
        <w:tc>
          <w:tcPr>
            <w:tcW w:w="191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92D8D7A"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Data Item</w:t>
            </w:r>
          </w:p>
        </w:tc>
        <w:tc>
          <w:tcPr>
            <w:tcW w:w="191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39949A2"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White</w:t>
            </w:r>
          </w:p>
        </w:tc>
        <w:tc>
          <w:tcPr>
            <w:tcW w:w="191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AAA7233"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BME</w:t>
            </w:r>
          </w:p>
        </w:tc>
        <w:tc>
          <w:tcPr>
            <w:tcW w:w="191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7EBC9DA" w14:textId="77777777" w:rsidR="0045657B" w:rsidRPr="00FA065E" w:rsidRDefault="0045657B" w:rsidP="00402A38">
            <w:pPr>
              <w:rPr>
                <w:rFonts w:ascii="Arial" w:eastAsia="Times New Roman" w:hAnsi="Arial" w:cs="Arial"/>
                <w:sz w:val="36"/>
                <w:szCs w:val="36"/>
              </w:rPr>
            </w:pPr>
            <w:r w:rsidRPr="00FA065E">
              <w:rPr>
                <w:rFonts w:ascii="Calibri" w:eastAsia="Times New Roman" w:hAnsi="Calibri" w:cs="Calibri"/>
                <w:b/>
                <w:bCs/>
                <w:color w:val="FFFFFF" w:themeColor="light1"/>
                <w:kern w:val="24"/>
                <w:szCs w:val="24"/>
              </w:rPr>
              <w:t>Ethnicity Unknown/Null</w:t>
            </w:r>
          </w:p>
        </w:tc>
      </w:tr>
      <w:tr w:rsidR="0045657B" w:rsidRPr="00FA065E" w14:paraId="71237179" w14:textId="77777777" w:rsidTr="0045657B">
        <w:trPr>
          <w:trHeight w:val="584"/>
        </w:trPr>
        <w:tc>
          <w:tcPr>
            <w:tcW w:w="2830"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3A28AC" w14:textId="77777777" w:rsidR="0045657B" w:rsidRPr="00A47686" w:rsidRDefault="0045657B" w:rsidP="00402A38">
            <w:pPr>
              <w:rPr>
                <w:rFonts w:ascii="Arial" w:eastAsia="Times New Roman" w:hAnsi="Arial" w:cs="Arial"/>
                <w:sz w:val="36"/>
                <w:szCs w:val="36"/>
              </w:rPr>
            </w:pPr>
            <w:r w:rsidRPr="00A47686">
              <w:rPr>
                <w:rFonts w:ascii="Arial" w:eastAsia="Times New Roman" w:hAnsi="Arial" w:cs="Arial"/>
                <w:b/>
                <w:bCs/>
                <w:color w:val="000000" w:themeColor="dark1"/>
                <w:kern w:val="24"/>
                <w:szCs w:val="24"/>
              </w:rPr>
              <w:t>9) Percentage difference between the organisations’ Board voting membership and its overall workforce</w:t>
            </w:r>
          </w:p>
          <w:p w14:paraId="55373955" w14:textId="77777777" w:rsidR="0045657B" w:rsidRPr="00FA065E" w:rsidRDefault="0045657B" w:rsidP="00402A38">
            <w:pPr>
              <w:rPr>
                <w:rFonts w:ascii="Arial" w:eastAsia="Times New Roman" w:hAnsi="Arial" w:cs="Arial"/>
                <w:sz w:val="36"/>
                <w:szCs w:val="36"/>
              </w:rPr>
            </w:pPr>
            <w:r w:rsidRPr="00A47686">
              <w:rPr>
                <w:rFonts w:ascii="Arial" w:eastAsia="Times New Roman" w:hAnsi="Arial" w:cs="Arial"/>
                <w:b/>
                <w:bCs/>
                <w:color w:val="000000" w:themeColor="dark1"/>
                <w:kern w:val="24"/>
                <w:szCs w:val="24"/>
              </w:rPr>
              <w:t>Note: Only voting members of the Board should be included when considering this indicator</w:t>
            </w:r>
          </w:p>
        </w:tc>
        <w:tc>
          <w:tcPr>
            <w:tcW w:w="191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9F4C78" w14:textId="77777777" w:rsidR="0045657B" w:rsidRPr="00753D43" w:rsidRDefault="0045657B" w:rsidP="00402A38">
            <w:pPr>
              <w:rPr>
                <w:rFonts w:ascii="Arial" w:hAnsi="Arial" w:cs="Arial"/>
                <w:sz w:val="22"/>
                <w:szCs w:val="22"/>
              </w:rPr>
            </w:pPr>
            <w:r w:rsidRPr="00753D43">
              <w:rPr>
                <w:rFonts w:ascii="Arial" w:hAnsi="Arial" w:cs="Arial"/>
                <w:sz w:val="22"/>
                <w:szCs w:val="22"/>
              </w:rPr>
              <w:t>Total Board Members</w:t>
            </w:r>
          </w:p>
        </w:tc>
        <w:tc>
          <w:tcPr>
            <w:tcW w:w="191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4456238"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11</w:t>
            </w:r>
          </w:p>
        </w:tc>
        <w:tc>
          <w:tcPr>
            <w:tcW w:w="191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D5FB40"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3</w:t>
            </w:r>
          </w:p>
        </w:tc>
        <w:tc>
          <w:tcPr>
            <w:tcW w:w="191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14984C"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r>
      <w:tr w:rsidR="0045657B" w:rsidRPr="00FA065E" w14:paraId="3F174FDD" w14:textId="77777777" w:rsidTr="0045657B">
        <w:trPr>
          <w:trHeight w:val="584"/>
        </w:trPr>
        <w:tc>
          <w:tcPr>
            <w:tcW w:w="2830" w:type="dxa"/>
            <w:vMerge/>
            <w:tcBorders>
              <w:top w:val="single" w:sz="24" w:space="0" w:color="FFFFFF"/>
              <w:left w:val="single" w:sz="8" w:space="0" w:color="FFFFFF"/>
              <w:bottom w:val="single" w:sz="8" w:space="0" w:color="FFFFFF"/>
              <w:right w:val="single" w:sz="8" w:space="0" w:color="FFFFFF"/>
            </w:tcBorders>
            <w:vAlign w:val="center"/>
            <w:hideMark/>
          </w:tcPr>
          <w:p w14:paraId="77C5354D" w14:textId="77777777" w:rsidR="0045657B" w:rsidRPr="00FA065E" w:rsidRDefault="0045657B" w:rsidP="00402A38">
            <w:pPr>
              <w:rPr>
                <w:rFonts w:ascii="Arial" w:eastAsia="Times New Roman" w:hAnsi="Arial" w:cs="Arial"/>
                <w:sz w:val="36"/>
                <w:szCs w:val="36"/>
              </w:rPr>
            </w:pPr>
          </w:p>
        </w:tc>
        <w:tc>
          <w:tcPr>
            <w:tcW w:w="191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9ABF09" w14:textId="77777777" w:rsidR="0045657B" w:rsidRPr="00753D43" w:rsidRDefault="0045657B" w:rsidP="00402A38">
            <w:pPr>
              <w:rPr>
                <w:rFonts w:ascii="Arial" w:hAnsi="Arial" w:cs="Arial"/>
                <w:sz w:val="22"/>
                <w:szCs w:val="22"/>
              </w:rPr>
            </w:pPr>
            <w:r w:rsidRPr="00753D43">
              <w:rPr>
                <w:rFonts w:ascii="Arial" w:hAnsi="Arial" w:cs="Arial"/>
                <w:sz w:val="22"/>
                <w:szCs w:val="22"/>
              </w:rPr>
              <w:t>Of which: voting board members</w:t>
            </w:r>
          </w:p>
        </w:tc>
        <w:tc>
          <w:tcPr>
            <w:tcW w:w="191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29FA40C"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c>
          <w:tcPr>
            <w:tcW w:w="191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16529CB"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2</w:t>
            </w:r>
          </w:p>
        </w:tc>
        <w:tc>
          <w:tcPr>
            <w:tcW w:w="191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010486" w14:textId="77777777" w:rsidR="0045657B" w:rsidRPr="00753D43" w:rsidRDefault="0045657B" w:rsidP="00402A38">
            <w:pPr>
              <w:rPr>
                <w:rFonts w:ascii="Arial" w:eastAsia="Times New Roman" w:hAnsi="Arial" w:cs="Arial"/>
                <w:sz w:val="22"/>
                <w:szCs w:val="22"/>
              </w:rPr>
            </w:pPr>
            <w:r w:rsidRPr="00753D43">
              <w:rPr>
                <w:rFonts w:ascii="Arial" w:eastAsia="Times New Roman" w:hAnsi="Arial" w:cs="Arial"/>
                <w:color w:val="000000" w:themeColor="dark1"/>
                <w:kern w:val="24"/>
                <w:sz w:val="22"/>
                <w:szCs w:val="22"/>
              </w:rPr>
              <w:t>4</w:t>
            </w:r>
          </w:p>
        </w:tc>
      </w:tr>
      <w:tr w:rsidR="0045657B" w:rsidRPr="00FA065E" w14:paraId="7C6455B5" w14:textId="77777777" w:rsidTr="0045657B">
        <w:trPr>
          <w:gridAfter w:val="4"/>
          <w:wAfter w:w="7660" w:type="dxa"/>
          <w:trHeight w:val="584"/>
        </w:trPr>
        <w:tc>
          <w:tcPr>
            <w:tcW w:w="2830" w:type="dxa"/>
            <w:vMerge/>
            <w:tcBorders>
              <w:top w:val="single" w:sz="24" w:space="0" w:color="FFFFFF"/>
              <w:left w:val="single" w:sz="8" w:space="0" w:color="FFFFFF"/>
              <w:bottom w:val="single" w:sz="8" w:space="0" w:color="FFFFFF"/>
              <w:right w:val="single" w:sz="8" w:space="0" w:color="FFFFFF"/>
            </w:tcBorders>
            <w:vAlign w:val="center"/>
            <w:hideMark/>
          </w:tcPr>
          <w:p w14:paraId="7C5FA5B0" w14:textId="77777777" w:rsidR="0045657B" w:rsidRPr="00FA065E" w:rsidRDefault="0045657B" w:rsidP="00402A38">
            <w:pPr>
              <w:rPr>
                <w:rFonts w:ascii="Arial" w:eastAsia="Times New Roman" w:hAnsi="Arial" w:cs="Arial"/>
                <w:sz w:val="36"/>
                <w:szCs w:val="36"/>
              </w:rPr>
            </w:pPr>
          </w:p>
        </w:tc>
      </w:tr>
    </w:tbl>
    <w:p w14:paraId="5E562BE0" w14:textId="77777777" w:rsidR="00B226A4" w:rsidRDefault="00B226A4" w:rsidP="00B226A4">
      <w:pPr>
        <w:pStyle w:val="ListParagraph"/>
        <w:rPr>
          <w:rFonts w:ascii="Arial" w:hAnsi="Arial" w:cs="Arial"/>
          <w:sz w:val="22"/>
          <w:szCs w:val="22"/>
          <w:lang w:eastAsia="en-US"/>
        </w:rPr>
      </w:pPr>
    </w:p>
    <w:tbl>
      <w:tblPr>
        <w:tblW w:w="10490" w:type="dxa"/>
        <w:tblInd w:w="-10" w:type="dxa"/>
        <w:tblCellMar>
          <w:left w:w="0" w:type="dxa"/>
          <w:right w:w="0" w:type="dxa"/>
        </w:tblCellMar>
        <w:tblLook w:val="0420" w:firstRow="1" w:lastRow="0" w:firstColumn="0" w:lastColumn="0" w:noHBand="0" w:noVBand="1"/>
      </w:tblPr>
      <w:tblGrid>
        <w:gridCol w:w="1134"/>
        <w:gridCol w:w="9356"/>
      </w:tblGrid>
      <w:tr w:rsidR="0025386F" w:rsidRPr="00FA065E" w14:paraId="7B48FB5D" w14:textId="16889BD2" w:rsidTr="0025386F">
        <w:trPr>
          <w:trHeight w:val="374"/>
        </w:trPr>
        <w:tc>
          <w:tcPr>
            <w:tcW w:w="113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E72D16" w14:textId="77777777" w:rsidR="0025386F" w:rsidRPr="0025386F" w:rsidRDefault="0025386F" w:rsidP="00534E92">
            <w:pPr>
              <w:rPr>
                <w:rFonts w:ascii="Calibri" w:eastAsia="Times New Roman" w:hAnsi="Calibri" w:cs="Calibri"/>
                <w:b/>
                <w:bCs/>
                <w:color w:val="FFFFFF" w:themeColor="light1"/>
                <w:kern w:val="24"/>
                <w:szCs w:val="24"/>
              </w:rPr>
            </w:pPr>
          </w:p>
        </w:tc>
        <w:tc>
          <w:tcPr>
            <w:tcW w:w="9356" w:type="dxa"/>
            <w:tcBorders>
              <w:top w:val="single" w:sz="8" w:space="0" w:color="FFFFFF"/>
              <w:left w:val="single" w:sz="8" w:space="0" w:color="FFFFFF"/>
              <w:bottom w:val="single" w:sz="24" w:space="0" w:color="FFFFFF"/>
              <w:right w:val="single" w:sz="8" w:space="0" w:color="FFFFFF"/>
            </w:tcBorders>
            <w:shd w:val="clear" w:color="auto" w:fill="4472C4"/>
          </w:tcPr>
          <w:p w14:paraId="11CE955E" w14:textId="66E62BC5" w:rsidR="0025386F" w:rsidRPr="0025386F" w:rsidRDefault="0025386F" w:rsidP="00534E92">
            <w:pPr>
              <w:rPr>
                <w:rFonts w:ascii="Calibri" w:eastAsia="Times New Roman" w:hAnsi="Calibri" w:cs="Calibri"/>
                <w:b/>
                <w:bCs/>
                <w:color w:val="FFFFFF" w:themeColor="light1"/>
                <w:kern w:val="24"/>
                <w:szCs w:val="24"/>
              </w:rPr>
            </w:pPr>
            <w:r w:rsidRPr="0025386F">
              <w:rPr>
                <w:rFonts w:ascii="Calibri" w:eastAsia="Times New Roman" w:hAnsi="Calibri" w:cs="Calibri"/>
                <w:b/>
                <w:bCs/>
                <w:color w:val="FFFFFF" w:themeColor="light1"/>
                <w:kern w:val="24"/>
                <w:szCs w:val="24"/>
              </w:rPr>
              <w:t>Board</w:t>
            </w:r>
          </w:p>
        </w:tc>
      </w:tr>
      <w:tr w:rsidR="0025386F" w:rsidRPr="00FA065E" w14:paraId="0A720CC4" w14:textId="3D44F4F7" w:rsidTr="0025386F">
        <w:trPr>
          <w:trHeight w:val="584"/>
        </w:trPr>
        <w:tc>
          <w:tcPr>
            <w:tcW w:w="113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5437EAF" w14:textId="77777777" w:rsidR="0025386F" w:rsidRPr="0025386F" w:rsidRDefault="0025386F" w:rsidP="0025386F">
            <w:pPr>
              <w:rPr>
                <w:rFonts w:ascii="Arial" w:eastAsiaTheme="minorHAnsi" w:hAnsi="Arial" w:cs="Arial"/>
                <w:sz w:val="22"/>
                <w:szCs w:val="22"/>
                <w:lang w:eastAsia="en-US"/>
              </w:rPr>
            </w:pPr>
            <w:r w:rsidRPr="0025386F">
              <w:rPr>
                <w:rFonts w:ascii="Arial" w:eastAsiaTheme="minorHAnsi" w:hAnsi="Arial" w:cs="Arial"/>
                <w:sz w:val="22"/>
                <w:szCs w:val="22"/>
                <w:lang w:eastAsia="en-US"/>
              </w:rPr>
              <w:t xml:space="preserve">61.1% </w:t>
            </w:r>
          </w:p>
          <w:p w14:paraId="65CF848E" w14:textId="39017C55" w:rsidR="0025386F" w:rsidRPr="00753D43" w:rsidRDefault="0025386F" w:rsidP="0025386F">
            <w:pPr>
              <w:rPr>
                <w:rFonts w:ascii="Arial" w:hAnsi="Arial" w:cs="Arial"/>
                <w:sz w:val="22"/>
                <w:szCs w:val="22"/>
              </w:rPr>
            </w:pPr>
          </w:p>
        </w:tc>
        <w:tc>
          <w:tcPr>
            <w:tcW w:w="9356" w:type="dxa"/>
            <w:tcBorders>
              <w:top w:val="single" w:sz="24" w:space="0" w:color="FFFFFF"/>
              <w:left w:val="single" w:sz="8" w:space="0" w:color="FFFFFF"/>
              <w:bottom w:val="single" w:sz="8" w:space="0" w:color="FFFFFF"/>
              <w:right w:val="single" w:sz="8" w:space="0" w:color="FFFFFF"/>
            </w:tcBorders>
            <w:shd w:val="clear" w:color="auto" w:fill="CFD5EA"/>
          </w:tcPr>
          <w:p w14:paraId="19767BF4" w14:textId="206EA1A7" w:rsidR="0025386F" w:rsidRPr="00753D43" w:rsidRDefault="0025386F" w:rsidP="0025386F">
            <w:pPr>
              <w:rPr>
                <w:rFonts w:ascii="Arial" w:hAnsi="Arial" w:cs="Arial"/>
                <w:sz w:val="22"/>
                <w:szCs w:val="22"/>
              </w:rPr>
            </w:pPr>
            <w:r w:rsidRPr="00B226A4">
              <w:rPr>
                <w:rFonts w:ascii="Arial" w:hAnsi="Arial" w:cs="Arial"/>
                <w:sz w:val="22"/>
                <w:szCs w:val="22"/>
                <w:lang w:eastAsia="en-US"/>
              </w:rPr>
              <w:t>Board members are white</w:t>
            </w:r>
          </w:p>
        </w:tc>
      </w:tr>
      <w:tr w:rsidR="0025386F" w:rsidRPr="00FA065E" w14:paraId="31D34F47" w14:textId="717DF968" w:rsidTr="0025386F">
        <w:trPr>
          <w:trHeight w:val="584"/>
        </w:trPr>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2775B67" w14:textId="443E37D0" w:rsidR="0025386F" w:rsidRPr="00753D43" w:rsidRDefault="0025386F" w:rsidP="0025386F">
            <w:pPr>
              <w:rPr>
                <w:rFonts w:ascii="Arial" w:hAnsi="Arial" w:cs="Arial"/>
                <w:sz w:val="22"/>
                <w:szCs w:val="22"/>
              </w:rPr>
            </w:pPr>
            <w:r w:rsidRPr="00753D43">
              <w:rPr>
                <w:rFonts w:ascii="Arial" w:hAnsi="Arial" w:cs="Arial"/>
                <w:sz w:val="22"/>
                <w:szCs w:val="22"/>
                <w:lang w:eastAsia="en-US"/>
              </w:rPr>
              <w:t>16.7%</w:t>
            </w:r>
          </w:p>
        </w:tc>
        <w:tc>
          <w:tcPr>
            <w:tcW w:w="9356" w:type="dxa"/>
            <w:tcBorders>
              <w:top w:val="single" w:sz="8" w:space="0" w:color="FFFFFF"/>
              <w:left w:val="single" w:sz="8" w:space="0" w:color="FFFFFF"/>
              <w:bottom w:val="single" w:sz="8" w:space="0" w:color="FFFFFF"/>
              <w:right w:val="single" w:sz="8" w:space="0" w:color="FFFFFF"/>
            </w:tcBorders>
            <w:shd w:val="clear" w:color="auto" w:fill="E9EBF5"/>
          </w:tcPr>
          <w:p w14:paraId="16BB9832" w14:textId="77777777" w:rsidR="0025386F" w:rsidRPr="0025386F" w:rsidRDefault="0025386F" w:rsidP="0025386F">
            <w:pPr>
              <w:rPr>
                <w:rFonts w:ascii="Arial" w:eastAsiaTheme="minorHAnsi" w:hAnsi="Arial" w:cs="Arial"/>
                <w:sz w:val="22"/>
                <w:szCs w:val="22"/>
                <w:lang w:eastAsia="en-US"/>
              </w:rPr>
            </w:pPr>
            <w:r w:rsidRPr="0025386F">
              <w:rPr>
                <w:rFonts w:ascii="Arial" w:eastAsiaTheme="minorHAnsi" w:hAnsi="Arial" w:cs="Arial"/>
                <w:sz w:val="22"/>
                <w:szCs w:val="22"/>
                <w:lang w:eastAsia="en-US"/>
              </w:rPr>
              <w:t>Board members are BME. (vs. 18.1% of the overall workforce)</w:t>
            </w:r>
          </w:p>
          <w:p w14:paraId="08D60CB6" w14:textId="35CA7B8D" w:rsidR="0025386F" w:rsidRPr="00753D43" w:rsidRDefault="0025386F" w:rsidP="0025386F">
            <w:pPr>
              <w:rPr>
                <w:rFonts w:ascii="Arial" w:hAnsi="Arial" w:cs="Arial"/>
                <w:sz w:val="22"/>
                <w:szCs w:val="22"/>
              </w:rPr>
            </w:pPr>
          </w:p>
        </w:tc>
      </w:tr>
      <w:tr w:rsidR="0025386F" w:rsidRPr="00FA065E" w14:paraId="21B822E8" w14:textId="77777777" w:rsidTr="0025386F">
        <w:trPr>
          <w:trHeight w:val="584"/>
        </w:trPr>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D084DE3" w14:textId="0B8E69DF" w:rsidR="0025386F" w:rsidRPr="00753D43" w:rsidRDefault="0025386F" w:rsidP="0025386F">
            <w:pPr>
              <w:rPr>
                <w:rFonts w:ascii="Arial" w:hAnsi="Arial" w:cs="Arial"/>
                <w:sz w:val="22"/>
                <w:szCs w:val="22"/>
                <w:lang w:eastAsia="en-US"/>
              </w:rPr>
            </w:pPr>
            <w:r w:rsidRPr="00753D43">
              <w:rPr>
                <w:rFonts w:ascii="Arial" w:hAnsi="Arial" w:cs="Arial"/>
                <w:sz w:val="22"/>
                <w:szCs w:val="22"/>
                <w:lang w:eastAsia="en-US"/>
              </w:rPr>
              <w:t>40%</w:t>
            </w:r>
          </w:p>
        </w:tc>
        <w:tc>
          <w:tcPr>
            <w:tcW w:w="9356" w:type="dxa"/>
            <w:tcBorders>
              <w:top w:val="single" w:sz="8" w:space="0" w:color="FFFFFF"/>
              <w:left w:val="single" w:sz="8" w:space="0" w:color="FFFFFF"/>
              <w:bottom w:val="single" w:sz="8" w:space="0" w:color="FFFFFF"/>
              <w:right w:val="single" w:sz="8" w:space="0" w:color="FFFFFF"/>
            </w:tcBorders>
            <w:shd w:val="clear" w:color="auto" w:fill="E9EBF5"/>
          </w:tcPr>
          <w:p w14:paraId="6A30782F" w14:textId="77777777" w:rsidR="0025386F" w:rsidRPr="00753D43" w:rsidRDefault="0025386F" w:rsidP="0025386F">
            <w:pPr>
              <w:pStyle w:val="NoSpacing"/>
              <w:rPr>
                <w:rFonts w:ascii="Arial" w:hAnsi="Arial" w:cs="Arial"/>
                <w:sz w:val="22"/>
                <w:szCs w:val="22"/>
                <w:lang w:eastAsia="en-US"/>
              </w:rPr>
            </w:pPr>
            <w:r w:rsidRPr="00753D43">
              <w:rPr>
                <w:rFonts w:ascii="Arial" w:hAnsi="Arial" w:cs="Arial"/>
                <w:sz w:val="22"/>
                <w:szCs w:val="22"/>
                <w:lang w:eastAsia="en-US"/>
              </w:rPr>
              <w:t>Board voting membership are White, a decrease of 30% compared to the previous year</w:t>
            </w:r>
          </w:p>
          <w:p w14:paraId="72A0E683" w14:textId="77777777" w:rsidR="0025386F" w:rsidRPr="0025386F" w:rsidRDefault="0025386F" w:rsidP="0025386F">
            <w:pPr>
              <w:rPr>
                <w:rFonts w:ascii="Arial" w:eastAsiaTheme="minorHAnsi" w:hAnsi="Arial" w:cs="Arial"/>
                <w:sz w:val="22"/>
                <w:szCs w:val="22"/>
                <w:lang w:eastAsia="en-US"/>
              </w:rPr>
            </w:pPr>
          </w:p>
        </w:tc>
      </w:tr>
      <w:tr w:rsidR="0025386F" w:rsidRPr="00FA065E" w14:paraId="310DC60D" w14:textId="77777777" w:rsidTr="0025386F">
        <w:trPr>
          <w:trHeight w:val="584"/>
        </w:trPr>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F45EF57" w14:textId="4962FC1E" w:rsidR="0025386F" w:rsidRPr="00753D43" w:rsidRDefault="0025386F" w:rsidP="0025386F">
            <w:pPr>
              <w:rPr>
                <w:rFonts w:ascii="Arial" w:hAnsi="Arial" w:cs="Arial"/>
                <w:sz w:val="22"/>
                <w:szCs w:val="22"/>
                <w:lang w:eastAsia="en-US"/>
              </w:rPr>
            </w:pPr>
            <w:r w:rsidRPr="00753D43">
              <w:rPr>
                <w:rFonts w:ascii="Arial" w:hAnsi="Arial" w:cs="Arial"/>
                <w:sz w:val="22"/>
                <w:szCs w:val="22"/>
                <w:lang w:eastAsia="en-US"/>
              </w:rPr>
              <w:t>20%</w:t>
            </w:r>
          </w:p>
        </w:tc>
        <w:tc>
          <w:tcPr>
            <w:tcW w:w="9356" w:type="dxa"/>
            <w:tcBorders>
              <w:top w:val="single" w:sz="8" w:space="0" w:color="FFFFFF"/>
              <w:left w:val="single" w:sz="8" w:space="0" w:color="FFFFFF"/>
              <w:bottom w:val="single" w:sz="8" w:space="0" w:color="FFFFFF"/>
              <w:right w:val="single" w:sz="8" w:space="0" w:color="FFFFFF"/>
            </w:tcBorders>
            <w:shd w:val="clear" w:color="auto" w:fill="E9EBF5"/>
          </w:tcPr>
          <w:p w14:paraId="38FBDB03" w14:textId="4E9BE8FF" w:rsidR="0025386F" w:rsidRPr="00753D43" w:rsidRDefault="0025386F" w:rsidP="0025386F">
            <w:pPr>
              <w:pStyle w:val="NoSpacing"/>
              <w:rPr>
                <w:rFonts w:ascii="Arial" w:hAnsi="Arial" w:cs="Arial"/>
                <w:sz w:val="22"/>
                <w:szCs w:val="22"/>
                <w:lang w:eastAsia="en-US"/>
              </w:rPr>
            </w:pPr>
            <w:r w:rsidRPr="00753D43">
              <w:rPr>
                <w:rFonts w:ascii="Arial" w:hAnsi="Arial" w:cs="Arial"/>
                <w:sz w:val="22"/>
                <w:szCs w:val="22"/>
                <w:lang w:eastAsia="en-US"/>
              </w:rPr>
              <w:t>Board voting membership is BME, which a 10% decrease compared to the previous year.</w:t>
            </w:r>
          </w:p>
        </w:tc>
      </w:tr>
      <w:tr w:rsidR="0025386F" w:rsidRPr="00FA065E" w14:paraId="59A34A8E" w14:textId="77777777" w:rsidTr="0025386F">
        <w:trPr>
          <w:trHeight w:val="584"/>
        </w:trPr>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486A824" w14:textId="7895287C" w:rsidR="0025386F" w:rsidRPr="00753D43" w:rsidRDefault="0025386F" w:rsidP="0025386F">
            <w:pPr>
              <w:rPr>
                <w:rFonts w:ascii="Arial" w:hAnsi="Arial" w:cs="Arial"/>
                <w:sz w:val="22"/>
                <w:szCs w:val="22"/>
                <w:lang w:eastAsia="en-US"/>
              </w:rPr>
            </w:pPr>
            <w:r w:rsidRPr="00753D43">
              <w:rPr>
                <w:rFonts w:ascii="Arial" w:hAnsi="Arial" w:cs="Arial"/>
                <w:sz w:val="22"/>
                <w:szCs w:val="22"/>
                <w:lang w:eastAsia="en-US"/>
              </w:rPr>
              <w:t>40%</w:t>
            </w:r>
          </w:p>
        </w:tc>
        <w:tc>
          <w:tcPr>
            <w:tcW w:w="9356" w:type="dxa"/>
            <w:tcBorders>
              <w:top w:val="single" w:sz="8" w:space="0" w:color="FFFFFF"/>
              <w:left w:val="single" w:sz="8" w:space="0" w:color="FFFFFF"/>
              <w:bottom w:val="single" w:sz="8" w:space="0" w:color="FFFFFF"/>
              <w:right w:val="single" w:sz="8" w:space="0" w:color="FFFFFF"/>
            </w:tcBorders>
            <w:shd w:val="clear" w:color="auto" w:fill="E9EBF5"/>
          </w:tcPr>
          <w:p w14:paraId="1CED60B2" w14:textId="7FFCDCE5" w:rsidR="0025386F" w:rsidRPr="00753D43" w:rsidRDefault="0025386F" w:rsidP="0025386F">
            <w:pPr>
              <w:pStyle w:val="NoSpacing"/>
              <w:rPr>
                <w:rFonts w:ascii="Arial" w:hAnsi="Arial" w:cs="Arial"/>
                <w:sz w:val="22"/>
                <w:szCs w:val="22"/>
                <w:lang w:eastAsia="en-US"/>
              </w:rPr>
            </w:pPr>
            <w:r w:rsidRPr="00753D43">
              <w:rPr>
                <w:rFonts w:ascii="Arial" w:hAnsi="Arial" w:cs="Arial"/>
                <w:sz w:val="22"/>
                <w:szCs w:val="22"/>
                <w:lang w:eastAsia="en-US"/>
              </w:rPr>
              <w:t>Overall Board have not declared their ethnicity on ESR</w:t>
            </w:r>
          </w:p>
        </w:tc>
      </w:tr>
      <w:tr w:rsidR="0025386F" w:rsidRPr="00FA065E" w14:paraId="3155CBD6" w14:textId="77777777" w:rsidTr="0025386F">
        <w:trPr>
          <w:trHeight w:val="584"/>
        </w:trPr>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70FBB13" w14:textId="77777777" w:rsidR="0025386F" w:rsidRPr="00753D43" w:rsidRDefault="0025386F" w:rsidP="0025386F">
            <w:pPr>
              <w:rPr>
                <w:rFonts w:ascii="Arial" w:hAnsi="Arial" w:cs="Arial"/>
                <w:sz w:val="22"/>
                <w:szCs w:val="22"/>
                <w:lang w:eastAsia="en-US"/>
              </w:rPr>
            </w:pPr>
          </w:p>
        </w:tc>
        <w:tc>
          <w:tcPr>
            <w:tcW w:w="9356" w:type="dxa"/>
            <w:tcBorders>
              <w:top w:val="single" w:sz="8" w:space="0" w:color="FFFFFF"/>
              <w:left w:val="single" w:sz="8" w:space="0" w:color="FFFFFF"/>
              <w:bottom w:val="single" w:sz="8" w:space="0" w:color="FFFFFF"/>
              <w:right w:val="single" w:sz="8" w:space="0" w:color="FFFFFF"/>
            </w:tcBorders>
            <w:shd w:val="clear" w:color="auto" w:fill="E9EBF5"/>
          </w:tcPr>
          <w:p w14:paraId="41889F58" w14:textId="2C98E102" w:rsidR="0025386F" w:rsidRPr="00753D43" w:rsidRDefault="0025386F" w:rsidP="0025386F">
            <w:pPr>
              <w:pStyle w:val="NoSpacing"/>
              <w:rPr>
                <w:rFonts w:ascii="Arial" w:hAnsi="Arial" w:cs="Arial"/>
                <w:sz w:val="22"/>
                <w:szCs w:val="22"/>
                <w:lang w:eastAsia="en-US"/>
              </w:rPr>
            </w:pPr>
            <w:r w:rsidRPr="00753D43">
              <w:rPr>
                <w:rFonts w:ascii="Arial" w:hAnsi="Arial" w:cs="Arial"/>
                <w:sz w:val="22"/>
                <w:szCs w:val="22"/>
                <w:lang w:eastAsia="en-US"/>
              </w:rPr>
              <w:t>Of the Trust Non-voting Board Members 87.5% of its members are white, 12.5% of the board IS BME. 11.5% last year</w:t>
            </w:r>
          </w:p>
        </w:tc>
      </w:tr>
    </w:tbl>
    <w:p w14:paraId="4CB2EB98" w14:textId="0704F57F" w:rsidR="0025386F" w:rsidRDefault="0025386F" w:rsidP="0025386F">
      <w:pPr>
        <w:rPr>
          <w:rFonts w:ascii="Arial" w:hAnsi="Arial" w:cs="Arial"/>
          <w:sz w:val="22"/>
          <w:szCs w:val="22"/>
          <w:lang w:eastAsia="en-US"/>
        </w:rPr>
      </w:pPr>
    </w:p>
    <w:p w14:paraId="644AC35B" w14:textId="23355912" w:rsidR="0025386F" w:rsidRDefault="0025386F" w:rsidP="0025386F">
      <w:pPr>
        <w:rPr>
          <w:rFonts w:ascii="Arial" w:hAnsi="Arial" w:cs="Arial"/>
          <w:sz w:val="22"/>
          <w:szCs w:val="22"/>
          <w:lang w:eastAsia="en-US"/>
        </w:rPr>
      </w:pPr>
    </w:p>
    <w:p w14:paraId="50A6C74D" w14:textId="77777777" w:rsidR="0025386F" w:rsidRPr="0025386F" w:rsidRDefault="0025386F" w:rsidP="0025386F">
      <w:pPr>
        <w:rPr>
          <w:rFonts w:ascii="Arial" w:hAnsi="Arial" w:cs="Arial"/>
          <w:sz w:val="22"/>
          <w:szCs w:val="22"/>
          <w:lang w:eastAsia="en-US"/>
        </w:rPr>
      </w:pPr>
    </w:p>
    <w:p w14:paraId="3C46DFE4" w14:textId="0607F996" w:rsidR="0025386F" w:rsidRDefault="0025386F" w:rsidP="00092DC4">
      <w:pPr>
        <w:pStyle w:val="ListParagraph"/>
        <w:ind w:left="360"/>
        <w:rPr>
          <w:rFonts w:ascii="Arial" w:hAnsi="Arial" w:cs="Arial"/>
          <w:sz w:val="22"/>
          <w:szCs w:val="22"/>
          <w:lang w:eastAsia="en-US"/>
        </w:rPr>
      </w:pPr>
    </w:p>
    <w:p w14:paraId="7AFE951A" w14:textId="77777777" w:rsidR="0025386F" w:rsidRDefault="0025386F" w:rsidP="00092DC4">
      <w:pPr>
        <w:pStyle w:val="ListParagraph"/>
        <w:ind w:left="360"/>
        <w:rPr>
          <w:rFonts w:ascii="Arial" w:hAnsi="Arial" w:cs="Arial"/>
          <w:sz w:val="22"/>
          <w:szCs w:val="22"/>
          <w:lang w:eastAsia="en-US"/>
        </w:rPr>
      </w:pPr>
    </w:p>
    <w:p w14:paraId="39B83A6C" w14:textId="1B5477A5" w:rsidR="0045657B" w:rsidRPr="00C76C4C" w:rsidRDefault="0045657B" w:rsidP="00D224E2">
      <w:pPr>
        <w:pStyle w:val="FootnoteText"/>
        <w:spacing w:before="360" w:after="360"/>
        <w:rPr>
          <w:rFonts w:ascii="Arial" w:hAnsi="Arial"/>
          <w:szCs w:val="24"/>
        </w:rPr>
      </w:pPr>
    </w:p>
    <w:p w14:paraId="139F8296" w14:textId="77777777" w:rsidR="00C76C4C" w:rsidRDefault="00C76C4C">
      <w:pPr>
        <w:rPr>
          <w:rFonts w:ascii="Arial" w:hAnsi="Arial"/>
          <w:b/>
          <w:bCs/>
          <w:szCs w:val="24"/>
        </w:rPr>
      </w:pPr>
    </w:p>
    <w:p w14:paraId="5C200142" w14:textId="77777777" w:rsidR="00C76C4C" w:rsidRDefault="00C76C4C">
      <w:pPr>
        <w:rPr>
          <w:rFonts w:ascii="Arial" w:hAnsi="Arial"/>
          <w:b/>
          <w:bCs/>
          <w:szCs w:val="24"/>
        </w:rPr>
      </w:pPr>
    </w:p>
    <w:p w14:paraId="0C28DE40" w14:textId="77777777" w:rsidR="00C76C4C" w:rsidRDefault="00C76C4C">
      <w:pPr>
        <w:rPr>
          <w:rFonts w:ascii="Arial" w:hAnsi="Arial"/>
          <w:b/>
          <w:bCs/>
          <w:szCs w:val="24"/>
        </w:rPr>
      </w:pPr>
    </w:p>
    <w:p w14:paraId="531F6F1D" w14:textId="0BFCA8FC" w:rsidR="00C72AE2" w:rsidRPr="00FD3332" w:rsidRDefault="00C72AE2" w:rsidP="00FD3332">
      <w:pPr>
        <w:rPr>
          <w:rFonts w:ascii="Arial" w:hAnsi="Arial"/>
          <w:sz w:val="20"/>
        </w:rPr>
      </w:pPr>
    </w:p>
    <w:sectPr w:rsidR="00C72AE2" w:rsidRPr="00FD3332" w:rsidSect="00092DC4">
      <w:footerReference w:type="default" r:id="rId9"/>
      <w:footerReference w:type="first" r:id="rId10"/>
      <w:pgSz w:w="11899" w:h="16838"/>
      <w:pgMar w:top="720" w:right="720" w:bottom="720" w:left="720"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B5BD" w14:textId="77777777" w:rsidR="00DD7160" w:rsidRDefault="00DD7160">
      <w:r>
        <w:separator/>
      </w:r>
    </w:p>
  </w:endnote>
  <w:endnote w:type="continuationSeparator" w:id="0">
    <w:p w14:paraId="4E07B7B1" w14:textId="77777777" w:rsidR="00DD7160" w:rsidRDefault="00DD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33986"/>
      <w:docPartObj>
        <w:docPartGallery w:val="Page Numbers (Bottom of Page)"/>
        <w:docPartUnique/>
      </w:docPartObj>
    </w:sdtPr>
    <w:sdtEndPr>
      <w:rPr>
        <w:noProof/>
      </w:rPr>
    </w:sdtEndPr>
    <w:sdtContent>
      <w:p w14:paraId="787676CB" w14:textId="11D05759" w:rsidR="00092DC4" w:rsidRDefault="00092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55180" w14:textId="77777777" w:rsidR="00092DC4" w:rsidRDefault="0009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E227" w14:textId="77777777" w:rsidR="00B9418D" w:rsidRDefault="00B9418D">
    <w:pPr>
      <w:pStyle w:val="Footer"/>
    </w:pPr>
    <w:r>
      <w:rPr>
        <w:noProof/>
      </w:rPr>
      <w:drawing>
        <wp:anchor distT="0" distB="0" distL="114300" distR="114300" simplePos="0" relativeHeight="251660288" behindDoc="1" locked="0" layoutInCell="1" allowOverlap="1" wp14:anchorId="09198527" wp14:editId="3315E45D">
          <wp:simplePos x="0" y="0"/>
          <wp:positionH relativeFrom="column">
            <wp:posOffset>-361950</wp:posOffset>
          </wp:positionH>
          <wp:positionV relativeFrom="paragraph">
            <wp:posOffset>-466725</wp:posOffset>
          </wp:positionV>
          <wp:extent cx="7562850" cy="10083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FE-Letters-Footer-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08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0E53" w14:textId="77777777" w:rsidR="00DD7160" w:rsidRDefault="00DD7160">
      <w:r>
        <w:separator/>
      </w:r>
    </w:p>
  </w:footnote>
  <w:footnote w:type="continuationSeparator" w:id="0">
    <w:p w14:paraId="64BF4A0B" w14:textId="77777777" w:rsidR="00DD7160" w:rsidRDefault="00DD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33C"/>
    <w:multiLevelType w:val="hybridMultilevel"/>
    <w:tmpl w:val="6016A978"/>
    <w:lvl w:ilvl="0" w:tplc="08090001">
      <w:start w:val="1"/>
      <w:numFmt w:val="bullet"/>
      <w:lvlText w:val=""/>
      <w:lvlJc w:val="left"/>
      <w:pPr>
        <w:ind w:left="360" w:hanging="360"/>
      </w:pPr>
      <w:rPr>
        <w:rFonts w:ascii="Symbol" w:hAnsi="Symbol" w:hint="default"/>
      </w:rPr>
    </w:lvl>
    <w:lvl w:ilvl="1" w:tplc="B50C072A">
      <w:start w:val="2"/>
      <w:numFmt w:val="bullet"/>
      <w:lvlText w:val="•"/>
      <w:lvlJc w:val="left"/>
      <w:pPr>
        <w:ind w:left="1080" w:hanging="360"/>
      </w:pPr>
      <w:rPr>
        <w:rFonts w:ascii="Arial" w:eastAsia="Times"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D25D5F"/>
    <w:multiLevelType w:val="hybridMultilevel"/>
    <w:tmpl w:val="9F46C4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F66F4E"/>
    <w:multiLevelType w:val="hybridMultilevel"/>
    <w:tmpl w:val="829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80D83"/>
    <w:multiLevelType w:val="hybridMultilevel"/>
    <w:tmpl w:val="126AE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B20949"/>
    <w:multiLevelType w:val="hybridMultilevel"/>
    <w:tmpl w:val="01C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100417">
    <w:abstractNumId w:val="0"/>
  </w:num>
  <w:num w:numId="2" w16cid:durableId="419646367">
    <w:abstractNumId w:val="1"/>
  </w:num>
  <w:num w:numId="3" w16cid:durableId="1071855057">
    <w:abstractNumId w:val="4"/>
  </w:num>
  <w:num w:numId="4" w16cid:durableId="401100817">
    <w:abstractNumId w:val="3"/>
  </w:num>
  <w:num w:numId="5" w16cid:durableId="64848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19"/>
    <w:rsid w:val="000351CE"/>
    <w:rsid w:val="00067F26"/>
    <w:rsid w:val="00092DC4"/>
    <w:rsid w:val="000A2BB0"/>
    <w:rsid w:val="001707E1"/>
    <w:rsid w:val="00171521"/>
    <w:rsid w:val="00187677"/>
    <w:rsid w:val="001B5E9B"/>
    <w:rsid w:val="001C237B"/>
    <w:rsid w:val="0021115A"/>
    <w:rsid w:val="00244665"/>
    <w:rsid w:val="0025386F"/>
    <w:rsid w:val="002F4CCA"/>
    <w:rsid w:val="00301C8D"/>
    <w:rsid w:val="00310DD3"/>
    <w:rsid w:val="00370918"/>
    <w:rsid w:val="003777D2"/>
    <w:rsid w:val="00383122"/>
    <w:rsid w:val="00402A38"/>
    <w:rsid w:val="0045209E"/>
    <w:rsid w:val="0045657B"/>
    <w:rsid w:val="00474F80"/>
    <w:rsid w:val="00486C19"/>
    <w:rsid w:val="004C4124"/>
    <w:rsid w:val="004E63EC"/>
    <w:rsid w:val="005952E7"/>
    <w:rsid w:val="005A720E"/>
    <w:rsid w:val="00657D07"/>
    <w:rsid w:val="00691CCA"/>
    <w:rsid w:val="006B3F6A"/>
    <w:rsid w:val="006C355D"/>
    <w:rsid w:val="006D2394"/>
    <w:rsid w:val="006D681C"/>
    <w:rsid w:val="00727605"/>
    <w:rsid w:val="00753D43"/>
    <w:rsid w:val="007B79FC"/>
    <w:rsid w:val="007E350A"/>
    <w:rsid w:val="007F716B"/>
    <w:rsid w:val="00827557"/>
    <w:rsid w:val="008369D5"/>
    <w:rsid w:val="00847025"/>
    <w:rsid w:val="00853864"/>
    <w:rsid w:val="0089447D"/>
    <w:rsid w:val="009334B6"/>
    <w:rsid w:val="00943E11"/>
    <w:rsid w:val="009B6A54"/>
    <w:rsid w:val="009C4F25"/>
    <w:rsid w:val="00A264FA"/>
    <w:rsid w:val="00A33FE8"/>
    <w:rsid w:val="00AD7CBB"/>
    <w:rsid w:val="00B10CFB"/>
    <w:rsid w:val="00B226A4"/>
    <w:rsid w:val="00B30397"/>
    <w:rsid w:val="00B82318"/>
    <w:rsid w:val="00B9418D"/>
    <w:rsid w:val="00BD6C62"/>
    <w:rsid w:val="00C07B88"/>
    <w:rsid w:val="00C10935"/>
    <w:rsid w:val="00C2259D"/>
    <w:rsid w:val="00C32AD4"/>
    <w:rsid w:val="00C60FAA"/>
    <w:rsid w:val="00C652B3"/>
    <w:rsid w:val="00C72AE2"/>
    <w:rsid w:val="00C76C4C"/>
    <w:rsid w:val="00CE4F10"/>
    <w:rsid w:val="00D127E3"/>
    <w:rsid w:val="00D20F38"/>
    <w:rsid w:val="00D224E2"/>
    <w:rsid w:val="00D42BF1"/>
    <w:rsid w:val="00DB1334"/>
    <w:rsid w:val="00DD7160"/>
    <w:rsid w:val="00E17854"/>
    <w:rsid w:val="00E662E0"/>
    <w:rsid w:val="00EE7396"/>
    <w:rsid w:val="00F56CA1"/>
    <w:rsid w:val="00FD3332"/>
    <w:rsid w:val="00FE60A2"/>
    <w:rsid w:val="00FF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362A"/>
  <w15:docId w15:val="{668BB352-D9C8-4F70-A26B-A82C624B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727605"/>
    <w:rPr>
      <w:rFonts w:ascii="Tahoma" w:hAnsi="Tahoma" w:cs="Tahoma"/>
      <w:sz w:val="16"/>
      <w:szCs w:val="16"/>
    </w:rPr>
  </w:style>
  <w:style w:type="character" w:customStyle="1" w:styleId="BalloonTextChar">
    <w:name w:val="Balloon Text Char"/>
    <w:basedOn w:val="DefaultParagraphFont"/>
    <w:link w:val="BalloonText"/>
    <w:uiPriority w:val="99"/>
    <w:semiHidden/>
    <w:rsid w:val="00727605"/>
    <w:rPr>
      <w:rFonts w:ascii="Tahoma" w:hAnsi="Tahoma" w:cs="Tahoma"/>
      <w:sz w:val="16"/>
      <w:szCs w:val="16"/>
    </w:rPr>
  </w:style>
  <w:style w:type="table" w:styleId="TableGrid">
    <w:name w:val="Table Grid"/>
    <w:basedOn w:val="TableNormal"/>
    <w:uiPriority w:val="59"/>
    <w:rsid w:val="001B5E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Bullet Point,normal,Body,lp1"/>
    <w:basedOn w:val="Normal"/>
    <w:link w:val="ListParagraphChar"/>
    <w:uiPriority w:val="34"/>
    <w:qFormat/>
    <w:rsid w:val="001B5E9B"/>
    <w:pPr>
      <w:ind w:left="720"/>
      <w:contextualSpacing/>
    </w:pPr>
  </w:style>
  <w:style w:type="paragraph" w:styleId="NoSpacing">
    <w:name w:val="No Spacing"/>
    <w:uiPriority w:val="1"/>
    <w:qFormat/>
    <w:rsid w:val="001B5E9B"/>
    <w:rPr>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CE4F10"/>
    <w:rPr>
      <w:sz w:val="24"/>
    </w:rPr>
  </w:style>
  <w:style w:type="character" w:customStyle="1" w:styleId="FooterChar">
    <w:name w:val="Footer Char"/>
    <w:basedOn w:val="DefaultParagraphFont"/>
    <w:link w:val="Footer"/>
    <w:uiPriority w:val="99"/>
    <w:rsid w:val="00092DC4"/>
    <w:rPr>
      <w:sz w:val="24"/>
    </w:rPr>
  </w:style>
  <w:style w:type="paragraph" w:styleId="Revision">
    <w:name w:val="Revision"/>
    <w:hidden/>
    <w:uiPriority w:val="99"/>
    <w:semiHidden/>
    <w:rsid w:val="000351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DE8E-E336-46DE-B162-16629CB1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1446</Words>
  <Characters>8436</Characters>
  <Application>Microsoft Office Word</Application>
  <DocSecurity>0</DocSecurity>
  <Lines>527</Lines>
  <Paragraphs>164</Paragraphs>
  <ScaleCrop>false</ScaleCrop>
  <HeadingPairs>
    <vt:vector size="2" baseType="variant">
      <vt:variant>
        <vt:lpstr>Title</vt:lpstr>
      </vt:variant>
      <vt:variant>
        <vt:i4>1</vt:i4>
      </vt:variant>
    </vt:vector>
  </HeadingPairs>
  <TitlesOfParts>
    <vt:vector size="1" baseType="lpstr">
      <vt:lpstr>Headings</vt:lpstr>
    </vt:vector>
  </TitlesOfParts>
  <Company>Factor 3</Company>
  <LinksUpToDate>false</LinksUpToDate>
  <CharactersWithSpaces>9718</CharactersWithSpaces>
  <SharedDoc>false</SharedDoc>
  <HLinks>
    <vt:vector size="18" baseType="variant">
      <vt:variant>
        <vt:i4>2293883</vt:i4>
      </vt:variant>
      <vt:variant>
        <vt:i4>1684</vt:i4>
      </vt:variant>
      <vt:variant>
        <vt:i4>1025</vt:i4>
      </vt:variant>
      <vt:variant>
        <vt:i4>1</vt:i4>
      </vt:variant>
      <vt:variant>
        <vt:lpwstr>SYSTEM:Users:Kathy:Desktop:NHS_GlosHos_LogoVis.jpg</vt:lpwstr>
      </vt:variant>
      <vt:variant>
        <vt:lpwstr/>
      </vt:variant>
      <vt:variant>
        <vt:i4>4325488</vt:i4>
      </vt:variant>
      <vt:variant>
        <vt:i4>1687</vt:i4>
      </vt:variant>
      <vt:variant>
        <vt:i4>1026</vt:i4>
      </vt:variant>
      <vt:variant>
        <vt:i4>1</vt:i4>
      </vt:variant>
      <vt:variant>
        <vt:lpwstr>:: Word_LOGOS:INT_LOGO_BLUE150.jpg</vt:lpwstr>
      </vt:variant>
      <vt:variant>
        <vt:lpwstr/>
      </vt:variant>
      <vt:variant>
        <vt:i4>4849715</vt:i4>
      </vt:variant>
      <vt:variant>
        <vt:i4>1688</vt:i4>
      </vt:variant>
      <vt:variant>
        <vt:i4>1027</vt:i4>
      </vt:variant>
      <vt:variant>
        <vt:i4>1</vt:i4>
      </vt:variant>
      <vt:variant>
        <vt:lpwstr>SYSTEM:Users:Kathy:Desktop:INT_LOGO_MASTER150.jpg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dc:title>
  <dc:subject/>
  <dc:creator>- -</dc:creator>
  <cp:keywords/>
  <dc:description/>
  <cp:lastModifiedBy>KJ</cp:lastModifiedBy>
  <cp:revision>3</cp:revision>
  <cp:lastPrinted>2023-08-03T14:03:00Z</cp:lastPrinted>
  <dcterms:created xsi:type="dcterms:W3CDTF">2024-05-13T17:30:00Z</dcterms:created>
  <dcterms:modified xsi:type="dcterms:W3CDTF">2024-05-13T17:31:00Z</dcterms:modified>
</cp:coreProperties>
</file>