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E52D" w14:textId="21ED71A8" w:rsidR="008C436E" w:rsidRPr="008644D0" w:rsidRDefault="008C436E" w:rsidP="008C436E">
      <w:pPr>
        <w:pStyle w:val="Heading1"/>
        <w:rPr>
          <w:b w:val="0"/>
          <w:color w:val="005EB8"/>
        </w:rPr>
      </w:pPr>
      <w:r w:rsidRPr="008644D0">
        <w:rPr>
          <w:color w:val="005EB8"/>
        </w:rPr>
        <w:t xml:space="preserve">Report to </w:t>
      </w:r>
      <w:r w:rsidR="00047F87">
        <w:rPr>
          <w:color w:val="005EB8"/>
        </w:rPr>
        <w:t>People &amp; OD Delivery Group</w:t>
      </w:r>
    </w:p>
    <w:tbl>
      <w:tblPr>
        <w:tblStyle w:val="TableGrid"/>
        <w:tblW w:w="5000" w:type="pct"/>
        <w:tblCellMar>
          <w:top w:w="142" w:type="dxa"/>
          <w:left w:w="142" w:type="dxa"/>
          <w:bottom w:w="142" w:type="dxa"/>
          <w:right w:w="142" w:type="dxa"/>
        </w:tblCellMar>
        <w:tblLook w:val="04A0" w:firstRow="1" w:lastRow="0" w:firstColumn="1" w:lastColumn="0" w:noHBand="0" w:noVBand="1"/>
      </w:tblPr>
      <w:tblGrid>
        <w:gridCol w:w="2954"/>
        <w:gridCol w:w="7502"/>
      </w:tblGrid>
      <w:tr w:rsidR="009712DB" w:rsidRPr="009712DB" w14:paraId="53FEE8A2" w14:textId="77777777" w:rsidTr="008C436E">
        <w:tc>
          <w:tcPr>
            <w:tcW w:w="2954" w:type="dxa"/>
            <w:shd w:val="clear" w:color="auto" w:fill="F0F4F5"/>
          </w:tcPr>
          <w:p w14:paraId="20B2970E" w14:textId="04E21411" w:rsidR="00804EEA" w:rsidRPr="009712DB" w:rsidRDefault="00804EEA">
            <w:pPr>
              <w:rPr>
                <w:b/>
                <w:bCs/>
              </w:rPr>
            </w:pPr>
            <w:r w:rsidRPr="009712DB">
              <w:rPr>
                <w:b/>
                <w:bCs/>
              </w:rPr>
              <w:t xml:space="preserve">Date of Meeting </w:t>
            </w:r>
          </w:p>
        </w:tc>
        <w:tc>
          <w:tcPr>
            <w:tcW w:w="7502" w:type="dxa"/>
          </w:tcPr>
          <w:p w14:paraId="7E59BEF0" w14:textId="3A33848B" w:rsidR="00804EEA" w:rsidRPr="009712DB" w:rsidRDefault="0087744A">
            <w:r>
              <w:t>10</w:t>
            </w:r>
            <w:r w:rsidR="00EA6B20">
              <w:t xml:space="preserve"> March 20</w:t>
            </w:r>
            <w:r>
              <w:t>26</w:t>
            </w:r>
          </w:p>
        </w:tc>
      </w:tr>
      <w:tr w:rsidR="009712DB" w:rsidRPr="009712DB" w14:paraId="04845A52" w14:textId="77777777" w:rsidTr="008C436E">
        <w:tc>
          <w:tcPr>
            <w:tcW w:w="2954" w:type="dxa"/>
            <w:shd w:val="clear" w:color="auto" w:fill="F0F4F5"/>
          </w:tcPr>
          <w:p w14:paraId="752F7AF8" w14:textId="24BAFC7F" w:rsidR="00804EEA" w:rsidRPr="009712DB" w:rsidRDefault="00804EEA">
            <w:pPr>
              <w:rPr>
                <w:b/>
                <w:bCs/>
              </w:rPr>
            </w:pPr>
            <w:r w:rsidRPr="009712DB">
              <w:rPr>
                <w:b/>
                <w:bCs/>
              </w:rPr>
              <w:t>Report title</w:t>
            </w:r>
          </w:p>
        </w:tc>
        <w:tc>
          <w:tcPr>
            <w:tcW w:w="7502" w:type="dxa"/>
          </w:tcPr>
          <w:p w14:paraId="398D806B" w14:textId="6C403635" w:rsidR="00804EEA" w:rsidRPr="009712DB" w:rsidRDefault="000C6CDC">
            <w:r>
              <w:t>Pay Gap Reports</w:t>
            </w:r>
          </w:p>
        </w:tc>
      </w:tr>
      <w:tr w:rsidR="009712DB" w:rsidRPr="009712DB" w14:paraId="4C804272" w14:textId="77777777" w:rsidTr="008C436E">
        <w:tc>
          <w:tcPr>
            <w:tcW w:w="2954" w:type="dxa"/>
            <w:shd w:val="clear" w:color="auto" w:fill="F0F4F5"/>
          </w:tcPr>
          <w:p w14:paraId="6489C046" w14:textId="46F36DCC" w:rsidR="00804EEA" w:rsidRPr="009712DB" w:rsidRDefault="00804EEA">
            <w:pPr>
              <w:rPr>
                <w:b/>
                <w:bCs/>
              </w:rPr>
            </w:pPr>
            <w:r w:rsidRPr="009712DB">
              <w:rPr>
                <w:b/>
                <w:bCs/>
              </w:rPr>
              <w:t>Sponsoring Director/Author</w:t>
            </w:r>
          </w:p>
        </w:tc>
        <w:tc>
          <w:tcPr>
            <w:tcW w:w="7502" w:type="dxa"/>
          </w:tcPr>
          <w:p w14:paraId="76F859C5" w14:textId="7772F09C" w:rsidR="006E622C" w:rsidRDefault="006E622C">
            <w:pPr>
              <w:rPr>
                <w:highlight w:val="yellow"/>
              </w:rPr>
            </w:pPr>
            <w:r w:rsidRPr="006E622C">
              <w:t xml:space="preserve">Maria Smith </w:t>
            </w:r>
            <w:r>
              <w:t>–</w:t>
            </w:r>
            <w:r w:rsidRPr="006E622C">
              <w:t xml:space="preserve"> Associate Director for Organisational and People Development</w:t>
            </w:r>
            <w:r w:rsidRPr="006E622C">
              <w:rPr>
                <w:highlight w:val="yellow"/>
              </w:rPr>
              <w:t xml:space="preserve"> </w:t>
            </w:r>
          </w:p>
          <w:p w14:paraId="13A21805" w14:textId="0C8F77EC" w:rsidR="00804EEA" w:rsidRPr="009712DB" w:rsidRDefault="00327A75">
            <w:pPr>
              <w:rPr>
                <w:i/>
                <w:iCs/>
                <w:sz w:val="22"/>
                <w:szCs w:val="22"/>
              </w:rPr>
            </w:pPr>
            <w:r w:rsidRPr="006E622C">
              <w:t>Emily Bestwick – EDI Coordinator</w:t>
            </w:r>
          </w:p>
        </w:tc>
      </w:tr>
    </w:tbl>
    <w:p w14:paraId="677A7155" w14:textId="77777777" w:rsidR="00777FA6" w:rsidRPr="009712DB" w:rsidRDefault="00777FA6" w:rsidP="008C436E">
      <w:pPr>
        <w:spacing w:after="0"/>
      </w:pPr>
    </w:p>
    <w:tbl>
      <w:tblPr>
        <w:tblStyle w:val="TableGrid"/>
        <w:tblW w:w="5000" w:type="pct"/>
        <w:tblCellMar>
          <w:top w:w="142" w:type="dxa"/>
          <w:left w:w="142" w:type="dxa"/>
          <w:bottom w:w="142" w:type="dxa"/>
          <w:right w:w="142" w:type="dxa"/>
        </w:tblCellMar>
        <w:tblLook w:val="04A0" w:firstRow="1" w:lastRow="0" w:firstColumn="1" w:lastColumn="0" w:noHBand="0" w:noVBand="1"/>
      </w:tblPr>
      <w:tblGrid>
        <w:gridCol w:w="3485"/>
        <w:gridCol w:w="3485"/>
        <w:gridCol w:w="3486"/>
      </w:tblGrid>
      <w:tr w:rsidR="009712DB" w:rsidRPr="009712DB" w14:paraId="751C8D1D" w14:textId="77777777" w:rsidTr="008C436E">
        <w:tc>
          <w:tcPr>
            <w:tcW w:w="10456" w:type="dxa"/>
            <w:gridSpan w:val="3"/>
            <w:shd w:val="clear" w:color="auto" w:fill="4C6272"/>
          </w:tcPr>
          <w:p w14:paraId="54059471" w14:textId="77777777" w:rsidR="008C436E" w:rsidRPr="009712DB" w:rsidRDefault="008C436E" w:rsidP="001C628F">
            <w:pPr>
              <w:rPr>
                <w:b/>
                <w:bCs/>
              </w:rPr>
            </w:pPr>
            <w:r w:rsidRPr="009712DB">
              <w:rPr>
                <w:b/>
                <w:bCs/>
              </w:rPr>
              <w:t>Purpose (confirm the appropriate box)</w:t>
            </w:r>
          </w:p>
        </w:tc>
      </w:tr>
      <w:tr w:rsidR="009712DB" w:rsidRPr="009712DB" w14:paraId="29FC00D6" w14:textId="77777777" w:rsidTr="001C628F">
        <w:tc>
          <w:tcPr>
            <w:tcW w:w="3485" w:type="dxa"/>
            <w:shd w:val="clear" w:color="auto" w:fill="F0F4F5"/>
          </w:tcPr>
          <w:p w14:paraId="635E781C" w14:textId="77777777" w:rsidR="008C436E" w:rsidRPr="009712DB" w:rsidRDefault="008C436E" w:rsidP="001C628F">
            <w:pPr>
              <w:rPr>
                <w:b/>
                <w:bCs/>
              </w:rPr>
            </w:pPr>
            <w:r w:rsidRPr="009712DB">
              <w:rPr>
                <w:b/>
                <w:bCs/>
              </w:rPr>
              <w:t xml:space="preserve">For approval </w:t>
            </w:r>
          </w:p>
        </w:tc>
        <w:tc>
          <w:tcPr>
            <w:tcW w:w="3485" w:type="dxa"/>
            <w:shd w:val="clear" w:color="auto" w:fill="F0F4F5"/>
          </w:tcPr>
          <w:p w14:paraId="3A32BDA3" w14:textId="77777777" w:rsidR="008C436E" w:rsidRPr="009712DB" w:rsidRDefault="008C436E" w:rsidP="001C628F">
            <w:pPr>
              <w:rPr>
                <w:b/>
                <w:bCs/>
              </w:rPr>
            </w:pPr>
            <w:r w:rsidRPr="009712DB">
              <w:rPr>
                <w:b/>
                <w:bCs/>
              </w:rPr>
              <w:t>For discussion</w:t>
            </w:r>
          </w:p>
        </w:tc>
        <w:tc>
          <w:tcPr>
            <w:tcW w:w="3486" w:type="dxa"/>
            <w:shd w:val="clear" w:color="auto" w:fill="F0F4F5"/>
          </w:tcPr>
          <w:p w14:paraId="47A1EC88" w14:textId="77777777" w:rsidR="008C436E" w:rsidRPr="009712DB" w:rsidRDefault="008C436E" w:rsidP="001C628F">
            <w:pPr>
              <w:rPr>
                <w:b/>
                <w:bCs/>
              </w:rPr>
            </w:pPr>
            <w:r w:rsidRPr="009712DB">
              <w:rPr>
                <w:b/>
                <w:bCs/>
              </w:rPr>
              <w:t>For information</w:t>
            </w:r>
          </w:p>
        </w:tc>
      </w:tr>
      <w:tr w:rsidR="008C436E" w:rsidRPr="009712DB" w14:paraId="074F315E" w14:textId="77777777" w:rsidTr="001C628F">
        <w:tc>
          <w:tcPr>
            <w:tcW w:w="3485" w:type="dxa"/>
          </w:tcPr>
          <w:p w14:paraId="43B8ED01" w14:textId="77777777" w:rsidR="008C436E" w:rsidRPr="009712DB" w:rsidRDefault="008C436E" w:rsidP="001C628F"/>
        </w:tc>
        <w:tc>
          <w:tcPr>
            <w:tcW w:w="3485" w:type="dxa"/>
          </w:tcPr>
          <w:p w14:paraId="28692258" w14:textId="2734BB1B" w:rsidR="008C436E" w:rsidRPr="009712DB" w:rsidRDefault="008C436E" w:rsidP="001C628F"/>
        </w:tc>
        <w:tc>
          <w:tcPr>
            <w:tcW w:w="3486" w:type="dxa"/>
          </w:tcPr>
          <w:p w14:paraId="645761C8" w14:textId="52ED1E81" w:rsidR="008C436E" w:rsidRPr="009712DB" w:rsidRDefault="00A354BC" w:rsidP="001C628F">
            <w:r>
              <w:sym w:font="Wingdings" w:char="F0FC"/>
            </w:r>
          </w:p>
        </w:tc>
      </w:tr>
    </w:tbl>
    <w:p w14:paraId="31854916" w14:textId="77777777" w:rsidR="008C436E" w:rsidRPr="009712DB" w:rsidRDefault="008C436E" w:rsidP="008C436E">
      <w:pPr>
        <w:spacing w:after="0"/>
      </w:pPr>
    </w:p>
    <w:tbl>
      <w:tblPr>
        <w:tblStyle w:val="TableGrid"/>
        <w:tblW w:w="5000" w:type="pct"/>
        <w:tblCellMar>
          <w:top w:w="142" w:type="dxa"/>
          <w:left w:w="142" w:type="dxa"/>
          <w:bottom w:w="142" w:type="dxa"/>
          <w:right w:w="142" w:type="dxa"/>
        </w:tblCellMar>
        <w:tblLook w:val="04A0" w:firstRow="1" w:lastRow="0" w:firstColumn="1" w:lastColumn="0" w:noHBand="0" w:noVBand="1"/>
      </w:tblPr>
      <w:tblGrid>
        <w:gridCol w:w="2954"/>
        <w:gridCol w:w="7502"/>
      </w:tblGrid>
      <w:tr w:rsidR="009712DB" w:rsidRPr="009712DB" w14:paraId="2718D0C2" w14:textId="77777777" w:rsidTr="008C436E">
        <w:tc>
          <w:tcPr>
            <w:tcW w:w="10456" w:type="dxa"/>
            <w:gridSpan w:val="2"/>
            <w:shd w:val="clear" w:color="auto" w:fill="4C6272"/>
          </w:tcPr>
          <w:p w14:paraId="0EB73FD7" w14:textId="77777777" w:rsidR="008C436E" w:rsidRPr="009712DB" w:rsidRDefault="008C436E" w:rsidP="001C628F">
            <w:pPr>
              <w:rPr>
                <w:b/>
                <w:bCs/>
              </w:rPr>
            </w:pPr>
            <w:r w:rsidRPr="009712DB">
              <w:rPr>
                <w:b/>
                <w:bCs/>
              </w:rPr>
              <w:t xml:space="preserve">Executive Summary </w:t>
            </w:r>
          </w:p>
        </w:tc>
      </w:tr>
      <w:tr w:rsidR="009712DB" w:rsidRPr="009712DB" w14:paraId="2C73A9AF" w14:textId="77777777" w:rsidTr="001C628F">
        <w:tc>
          <w:tcPr>
            <w:tcW w:w="10456" w:type="dxa"/>
            <w:gridSpan w:val="2"/>
          </w:tcPr>
          <w:p w14:paraId="63B46DC3" w14:textId="77777777" w:rsidR="00CD1D82" w:rsidRPr="00327A75" w:rsidRDefault="00CD1D82" w:rsidP="00327A75">
            <w:pPr>
              <w:jc w:val="both"/>
            </w:pPr>
            <w:r w:rsidRPr="00327A75">
              <w:t>This report outlines the Trust’s Gender, Ethnicity and Disability Pay Gaps for 2025 and highlights where inequalities remain in our workforce.</w:t>
            </w:r>
          </w:p>
          <w:p w14:paraId="1BE3CE26" w14:textId="77777777" w:rsidR="00CD1D82" w:rsidRPr="00327A75" w:rsidRDefault="00CD1D82" w:rsidP="00327A75">
            <w:pPr>
              <w:jc w:val="both"/>
            </w:pPr>
          </w:p>
          <w:p w14:paraId="4167A0CD" w14:textId="77777777" w:rsidR="00327A75" w:rsidRDefault="00CD1D82" w:rsidP="00327A75">
            <w:pPr>
              <w:numPr>
                <w:ilvl w:val="0"/>
                <w:numId w:val="11"/>
              </w:numPr>
              <w:spacing w:after="120"/>
              <w:ind w:left="357" w:hanging="357"/>
              <w:jc w:val="both"/>
            </w:pPr>
            <w:r w:rsidRPr="00327A75">
              <w:t>The Gender Pay Gap has increased to a 26.5% mean and 17.8% median gap, both in favour of men. Much of this is driven by high</w:t>
            </w:r>
            <w:r w:rsidRPr="00327A75">
              <w:noBreakHyphen/>
              <w:t>value Clinical Excellence Awards within the Medical and Dental workforce.</w:t>
            </w:r>
          </w:p>
          <w:p w14:paraId="2715994A" w14:textId="77777777" w:rsidR="00327A75" w:rsidRDefault="00CD1D82" w:rsidP="00327A75">
            <w:pPr>
              <w:numPr>
                <w:ilvl w:val="0"/>
                <w:numId w:val="11"/>
              </w:numPr>
              <w:spacing w:after="120"/>
              <w:ind w:left="357" w:hanging="357"/>
              <w:jc w:val="both"/>
            </w:pPr>
            <w:r w:rsidRPr="00327A75">
              <w:t>When Medical and Dental staff are excluded, the pay gap reduces significantly, showing near equal mean pay and a median gap in favour of women.</w:t>
            </w:r>
          </w:p>
          <w:p w14:paraId="6246C710" w14:textId="77777777" w:rsidR="00327A75" w:rsidRDefault="00CD1D82" w:rsidP="00327A75">
            <w:pPr>
              <w:numPr>
                <w:ilvl w:val="0"/>
                <w:numId w:val="11"/>
              </w:numPr>
              <w:spacing w:after="120"/>
              <w:ind w:left="357" w:hanging="357"/>
              <w:jc w:val="both"/>
            </w:pPr>
            <w:r w:rsidRPr="00327A75">
              <w:t>The Ethnicity Pay Gap is 1.2% in favour of ethnic minority staff, continuing a positive trend.</w:t>
            </w:r>
          </w:p>
          <w:p w14:paraId="49D36236" w14:textId="77777777" w:rsidR="00327A75" w:rsidRDefault="00CD1D82" w:rsidP="00327A75">
            <w:pPr>
              <w:numPr>
                <w:ilvl w:val="0"/>
                <w:numId w:val="11"/>
              </w:numPr>
              <w:spacing w:after="120"/>
              <w:ind w:left="357" w:hanging="357"/>
              <w:jc w:val="both"/>
            </w:pPr>
            <w:r w:rsidRPr="00327A75">
              <w:t>The Disability Pay Gap is 13.</w:t>
            </w:r>
            <w:r w:rsidR="00FC2D85" w:rsidRPr="00327A75">
              <w:t>1</w:t>
            </w:r>
            <w:r w:rsidRPr="00327A75">
              <w:t>% in favour of non</w:t>
            </w:r>
            <w:r w:rsidRPr="00327A75">
              <w:noBreakHyphen/>
              <w:t>disabled staff, reflecting lower numbers of disabled colleagues in higher</w:t>
            </w:r>
            <w:r w:rsidRPr="00327A75">
              <w:noBreakHyphen/>
              <w:t>banded roles.</w:t>
            </w:r>
          </w:p>
          <w:p w14:paraId="5739E60D" w14:textId="1C281C53" w:rsidR="00CD1D82" w:rsidRDefault="00CD1D82" w:rsidP="00327A75">
            <w:pPr>
              <w:numPr>
                <w:ilvl w:val="0"/>
                <w:numId w:val="11"/>
              </w:numPr>
              <w:ind w:left="357" w:hanging="357"/>
              <w:jc w:val="both"/>
            </w:pPr>
            <w:r w:rsidRPr="00327A75">
              <w:t>Women, ethnic minority staff and disabled staff are all underrepresented in senior roles, which contributes to pay gaps across the Trust.</w:t>
            </w:r>
          </w:p>
          <w:p w14:paraId="2248CB9E" w14:textId="77777777" w:rsidR="00327A75" w:rsidRPr="00327A75" w:rsidRDefault="00327A75" w:rsidP="00327A75">
            <w:pPr>
              <w:jc w:val="both"/>
            </w:pPr>
          </w:p>
          <w:p w14:paraId="15710904" w14:textId="1EEEEC18" w:rsidR="00C422C3" w:rsidRPr="00327A75" w:rsidRDefault="00CD1D82" w:rsidP="00327A75">
            <w:pPr>
              <w:jc w:val="both"/>
            </w:pPr>
            <w:r w:rsidRPr="00327A75">
              <w:t>The Trust remains committed to reducing these gaps. Key actions include improving inclusive recruitment, strengthening staff networks, supporting progression, enhancing use of cultural ambassadors, and improving access to reasonable adjustments.</w:t>
            </w:r>
          </w:p>
        </w:tc>
      </w:tr>
      <w:tr w:rsidR="008C436E" w:rsidRPr="009712DB" w14:paraId="2455A3B8" w14:textId="77777777" w:rsidTr="00327A75">
        <w:trPr>
          <w:trHeight w:val="240"/>
        </w:trPr>
        <w:tc>
          <w:tcPr>
            <w:tcW w:w="2954" w:type="dxa"/>
            <w:vAlign w:val="center"/>
          </w:tcPr>
          <w:p w14:paraId="6C416022" w14:textId="77777777" w:rsidR="008C436E" w:rsidRPr="009712DB" w:rsidRDefault="008C436E" w:rsidP="00327A75">
            <w:r w:rsidRPr="009712DB">
              <w:t>Previously considered by</w:t>
            </w:r>
          </w:p>
        </w:tc>
        <w:tc>
          <w:tcPr>
            <w:tcW w:w="7502" w:type="dxa"/>
            <w:vAlign w:val="center"/>
          </w:tcPr>
          <w:p w14:paraId="031A55AE" w14:textId="79892B14" w:rsidR="008C436E" w:rsidRPr="00327A75" w:rsidRDefault="000B4523" w:rsidP="00327A75">
            <w:pPr>
              <w:spacing w:line="300" w:lineRule="atLeast"/>
              <w:rPr>
                <w:rFonts w:eastAsia="Times New Roman" w:cs="Arial"/>
                <w:kern w:val="0"/>
                <w:lang w:eastAsia="en-GB"/>
                <w14:ligatures w14:val="none"/>
              </w:rPr>
            </w:pPr>
            <w:r w:rsidRPr="00327A75">
              <w:rPr>
                <w:rFonts w:eastAsia="Times New Roman" w:cs="Arial"/>
                <w:kern w:val="0"/>
                <w:lang w:eastAsia="en-GB"/>
                <w14:ligatures w14:val="none"/>
              </w:rPr>
              <w:t>E</w:t>
            </w:r>
            <w:r w:rsidR="00327A75" w:rsidRPr="00327A75">
              <w:rPr>
                <w:rFonts w:eastAsia="Times New Roman" w:cs="Arial"/>
                <w:kern w:val="0"/>
                <w:lang w:eastAsia="en-GB"/>
                <w14:ligatures w14:val="none"/>
              </w:rPr>
              <w:t>DI Steering Group – 19 February 2026</w:t>
            </w:r>
          </w:p>
        </w:tc>
      </w:tr>
    </w:tbl>
    <w:p w14:paraId="12DBA0DF" w14:textId="77777777" w:rsidR="008C436E" w:rsidRDefault="008C436E" w:rsidP="008C436E">
      <w:pPr>
        <w:spacing w:after="0"/>
      </w:pPr>
    </w:p>
    <w:p w14:paraId="4230C828" w14:textId="77777777" w:rsidR="00327A75" w:rsidRDefault="00327A75" w:rsidP="008C436E">
      <w:pPr>
        <w:spacing w:after="0"/>
      </w:pPr>
    </w:p>
    <w:p w14:paraId="7093F2B5" w14:textId="77777777" w:rsidR="00327A75" w:rsidRDefault="00327A75" w:rsidP="008C436E">
      <w:pPr>
        <w:spacing w:after="0"/>
      </w:pPr>
    </w:p>
    <w:p w14:paraId="17BEFE83" w14:textId="77777777" w:rsidR="00327A75" w:rsidRPr="009712DB" w:rsidRDefault="00327A75" w:rsidP="008C436E">
      <w:pPr>
        <w:spacing w:after="0"/>
      </w:pPr>
    </w:p>
    <w:tbl>
      <w:tblPr>
        <w:tblStyle w:val="TableGrid"/>
        <w:tblW w:w="5000" w:type="pct"/>
        <w:tblCellMar>
          <w:top w:w="142" w:type="dxa"/>
          <w:left w:w="142" w:type="dxa"/>
          <w:bottom w:w="142" w:type="dxa"/>
          <w:right w:w="142" w:type="dxa"/>
        </w:tblCellMar>
        <w:tblLook w:val="04A0" w:firstRow="1" w:lastRow="0" w:firstColumn="1" w:lastColumn="0" w:noHBand="0" w:noVBand="1"/>
      </w:tblPr>
      <w:tblGrid>
        <w:gridCol w:w="10456"/>
      </w:tblGrid>
      <w:tr w:rsidR="009712DB" w:rsidRPr="009712DB" w14:paraId="2C53AB33" w14:textId="77777777" w:rsidTr="008C436E">
        <w:tc>
          <w:tcPr>
            <w:tcW w:w="10456" w:type="dxa"/>
            <w:shd w:val="clear" w:color="auto" w:fill="4C6272"/>
          </w:tcPr>
          <w:p w14:paraId="015EC90D" w14:textId="77777777" w:rsidR="008C436E" w:rsidRPr="009712DB" w:rsidRDefault="008C436E" w:rsidP="001C628F">
            <w:pPr>
              <w:rPr>
                <w:b/>
                <w:bCs/>
              </w:rPr>
            </w:pPr>
            <w:r w:rsidRPr="009712DB">
              <w:rPr>
                <w:b/>
                <w:bCs/>
              </w:rPr>
              <w:t>Recommendations:</w:t>
            </w:r>
          </w:p>
        </w:tc>
      </w:tr>
      <w:tr w:rsidR="008C436E" w:rsidRPr="009712DB" w14:paraId="1D503C2D" w14:textId="77777777" w:rsidTr="001C628F">
        <w:trPr>
          <w:trHeight w:val="1707"/>
        </w:trPr>
        <w:tc>
          <w:tcPr>
            <w:tcW w:w="10456" w:type="dxa"/>
          </w:tcPr>
          <w:p w14:paraId="7491307E" w14:textId="25D8B643" w:rsidR="00CD1D82" w:rsidRPr="00327A75" w:rsidRDefault="00CD1D82" w:rsidP="00CD1D82">
            <w:pPr>
              <w:spacing w:before="100" w:beforeAutospacing="1" w:after="100" w:afterAutospacing="1" w:line="300" w:lineRule="atLeast"/>
              <w:rPr>
                <w:rFonts w:eastAsia="Times New Roman" w:cs="Arial"/>
                <w:kern w:val="0"/>
                <w:lang w:eastAsia="en-GB"/>
                <w14:ligatures w14:val="none"/>
              </w:rPr>
            </w:pPr>
            <w:r w:rsidRPr="00327A75">
              <w:rPr>
                <w:rFonts w:eastAsia="Times New Roman" w:cs="Arial"/>
                <w:b/>
                <w:bCs/>
                <w:kern w:val="0"/>
                <w:lang w:eastAsia="en-GB"/>
                <w14:ligatures w14:val="none"/>
              </w:rPr>
              <w:t xml:space="preserve">Inclusive Recruitment: </w:t>
            </w:r>
            <w:r w:rsidRPr="00327A75">
              <w:rPr>
                <w:rFonts w:eastAsia="Times New Roman" w:cs="Arial"/>
                <w:kern w:val="0"/>
                <w:lang w:eastAsia="en-GB"/>
                <w14:ligatures w14:val="none"/>
              </w:rPr>
              <w:t>Establish a task and finish group to identify recruitment barriers, including EDI</w:t>
            </w:r>
            <w:r w:rsidRPr="00327A75">
              <w:rPr>
                <w:rFonts w:eastAsia="Times New Roman" w:cs="Arial"/>
                <w:kern w:val="0"/>
                <w:lang w:eastAsia="en-GB"/>
                <w14:ligatures w14:val="none"/>
              </w:rPr>
              <w:noBreakHyphen/>
              <w:t>related issues, and implement improvements to deliver fairer, more inclusive hiring.</w:t>
            </w:r>
          </w:p>
          <w:p w14:paraId="00FE452B" w14:textId="53D63D84" w:rsidR="00CD1D82" w:rsidRPr="00327A75" w:rsidRDefault="00CD1D82" w:rsidP="00CD1D82">
            <w:pPr>
              <w:spacing w:before="100" w:beforeAutospacing="1" w:after="100" w:afterAutospacing="1" w:line="300" w:lineRule="atLeast"/>
              <w:rPr>
                <w:rFonts w:eastAsia="Times New Roman" w:cs="Arial"/>
                <w:kern w:val="0"/>
                <w:lang w:eastAsia="en-GB"/>
                <w14:ligatures w14:val="none"/>
              </w:rPr>
            </w:pPr>
            <w:r w:rsidRPr="00327A75">
              <w:rPr>
                <w:rFonts w:eastAsia="Times New Roman" w:cs="Arial"/>
                <w:b/>
                <w:bCs/>
                <w:kern w:val="0"/>
                <w:lang w:eastAsia="en-GB"/>
                <w14:ligatures w14:val="none"/>
              </w:rPr>
              <w:t xml:space="preserve">Inclusion Champions: </w:t>
            </w:r>
            <w:r w:rsidRPr="00327A75">
              <w:rPr>
                <w:rFonts w:eastAsia="Times New Roman" w:cs="Arial"/>
                <w:kern w:val="0"/>
                <w:lang w:eastAsia="en-GB"/>
                <w14:ligatures w14:val="none"/>
              </w:rPr>
              <w:t>Formalise the Inclusion Champion role and operating model through a task and finish group, followed by a Trust</w:t>
            </w:r>
            <w:r w:rsidRPr="00327A75">
              <w:rPr>
                <w:rFonts w:eastAsia="Times New Roman" w:cs="Arial"/>
                <w:kern w:val="0"/>
                <w:lang w:eastAsia="en-GB"/>
                <w14:ligatures w14:val="none"/>
              </w:rPr>
              <w:noBreakHyphen/>
              <w:t>wide campaign to grow the champion workforce.</w:t>
            </w:r>
          </w:p>
          <w:p w14:paraId="35B02B9C" w14:textId="51EADFBB" w:rsidR="00CD1D82" w:rsidRPr="00327A75" w:rsidRDefault="00CD1D82" w:rsidP="00CD1D82">
            <w:pPr>
              <w:spacing w:before="100" w:beforeAutospacing="1" w:after="100" w:afterAutospacing="1" w:line="300" w:lineRule="atLeast"/>
              <w:rPr>
                <w:rFonts w:eastAsia="Times New Roman" w:cs="Arial"/>
                <w:kern w:val="0"/>
                <w:lang w:eastAsia="en-GB"/>
                <w14:ligatures w14:val="none"/>
              </w:rPr>
            </w:pPr>
            <w:r w:rsidRPr="00327A75">
              <w:rPr>
                <w:rFonts w:eastAsia="Times New Roman" w:cs="Arial"/>
                <w:b/>
                <w:bCs/>
                <w:kern w:val="0"/>
                <w:lang w:eastAsia="en-GB"/>
                <w14:ligatures w14:val="none"/>
              </w:rPr>
              <w:t xml:space="preserve">Cultural Ambassadors: </w:t>
            </w:r>
            <w:r w:rsidRPr="00327A75">
              <w:rPr>
                <w:rFonts w:eastAsia="Times New Roman" w:cs="Arial"/>
                <w:kern w:val="0"/>
                <w:lang w:eastAsia="en-GB"/>
                <w14:ligatures w14:val="none"/>
              </w:rPr>
              <w:t>Agree a consistent Trust approach for involvement in ER and recruitment processes. Recruit and train additional Cultural Ambassadors to meet demand.</w:t>
            </w:r>
          </w:p>
          <w:p w14:paraId="4285C0DC" w14:textId="27038B3F" w:rsidR="00CD1D82" w:rsidRPr="00327A75" w:rsidRDefault="00CD1D82" w:rsidP="00CD1D82">
            <w:pPr>
              <w:spacing w:before="100" w:beforeAutospacing="1" w:after="100" w:afterAutospacing="1" w:line="300" w:lineRule="atLeast"/>
              <w:rPr>
                <w:rFonts w:eastAsia="Times New Roman" w:cs="Arial"/>
                <w:kern w:val="0"/>
                <w:lang w:eastAsia="en-GB"/>
                <w14:ligatures w14:val="none"/>
              </w:rPr>
            </w:pPr>
            <w:r w:rsidRPr="00327A75">
              <w:rPr>
                <w:rFonts w:eastAsia="Times New Roman" w:cs="Arial"/>
                <w:b/>
                <w:bCs/>
                <w:kern w:val="0"/>
                <w:lang w:eastAsia="en-GB"/>
                <w14:ligatures w14:val="none"/>
              </w:rPr>
              <w:t xml:space="preserve">Inclusion Networks: </w:t>
            </w:r>
            <w:r w:rsidRPr="00327A75">
              <w:rPr>
                <w:rFonts w:eastAsia="Times New Roman" w:cs="Arial"/>
                <w:kern w:val="0"/>
                <w:lang w:eastAsia="en-GB"/>
                <w14:ligatures w14:val="none"/>
              </w:rPr>
              <w:t>Strengthen the purpose, governance and impact of all Inclusion Networks, supported by external expertise (Eden Charles). Seek dedicated funding for Network Chairs.</w:t>
            </w:r>
          </w:p>
          <w:p w14:paraId="20449E47" w14:textId="30B6CF04" w:rsidR="00CD1D82" w:rsidRPr="00327A75" w:rsidRDefault="00CD1D82" w:rsidP="00CD1D82">
            <w:pPr>
              <w:spacing w:before="100" w:beforeAutospacing="1" w:after="100" w:afterAutospacing="1" w:line="300" w:lineRule="atLeast"/>
              <w:rPr>
                <w:rFonts w:eastAsia="Times New Roman" w:cs="Arial"/>
                <w:kern w:val="0"/>
                <w:lang w:eastAsia="en-GB"/>
                <w14:ligatures w14:val="none"/>
              </w:rPr>
            </w:pPr>
            <w:r w:rsidRPr="00327A75">
              <w:rPr>
                <w:rFonts w:eastAsia="Times New Roman" w:cs="Arial"/>
                <w:b/>
                <w:bCs/>
                <w:kern w:val="0"/>
                <w:lang w:eastAsia="en-GB"/>
                <w14:ligatures w14:val="none"/>
              </w:rPr>
              <w:t xml:space="preserve">Reciprocal Mentoring (May 2026): </w:t>
            </w:r>
            <w:r w:rsidRPr="00327A75">
              <w:rPr>
                <w:rFonts w:eastAsia="Times New Roman" w:cs="Arial"/>
                <w:kern w:val="0"/>
                <w:lang w:eastAsia="en-GB"/>
                <w14:ligatures w14:val="none"/>
              </w:rPr>
              <w:t>Launch a Reciprocal Mentoring Programme pairing network members and allies with Executive and senior leaders to enhance understanding of lived experience.</w:t>
            </w:r>
          </w:p>
          <w:p w14:paraId="0378C1EB" w14:textId="163FF339" w:rsidR="00CD1D82" w:rsidRPr="00327A75" w:rsidRDefault="00CD1D82" w:rsidP="00CD1D82">
            <w:pPr>
              <w:spacing w:before="100" w:beforeAutospacing="1" w:after="100" w:afterAutospacing="1" w:line="300" w:lineRule="atLeast"/>
              <w:rPr>
                <w:rFonts w:eastAsia="Times New Roman" w:cs="Arial"/>
                <w:kern w:val="0"/>
                <w:lang w:eastAsia="en-GB"/>
                <w14:ligatures w14:val="none"/>
              </w:rPr>
            </w:pPr>
            <w:r w:rsidRPr="00327A75">
              <w:rPr>
                <w:rFonts w:eastAsia="Times New Roman" w:cs="Arial"/>
                <w:b/>
                <w:bCs/>
                <w:kern w:val="0"/>
                <w:lang w:eastAsia="en-GB"/>
                <w14:ligatures w14:val="none"/>
              </w:rPr>
              <w:t xml:space="preserve">Sexual Safety Charter: </w:t>
            </w:r>
            <w:r w:rsidRPr="00327A75">
              <w:rPr>
                <w:rFonts w:eastAsia="Times New Roman" w:cs="Arial"/>
                <w:kern w:val="0"/>
                <w:lang w:eastAsia="en-GB"/>
                <w14:ligatures w14:val="none"/>
              </w:rPr>
              <w:t>Roll out mandatory Trust</w:t>
            </w:r>
            <w:r w:rsidRPr="00327A75">
              <w:rPr>
                <w:rFonts w:eastAsia="Times New Roman" w:cs="Arial"/>
                <w:kern w:val="0"/>
                <w:lang w:eastAsia="en-GB"/>
                <w14:ligatures w14:val="none"/>
              </w:rPr>
              <w:noBreakHyphen/>
              <w:t>wide eLearning on “Understanding Sexual Misconduct in the Workplace” to meet national commitments.</w:t>
            </w:r>
          </w:p>
          <w:p w14:paraId="4AB409B8" w14:textId="143A7225" w:rsidR="00CD1D82" w:rsidRPr="00327A75" w:rsidRDefault="00CD1D82" w:rsidP="00CD1D82">
            <w:pPr>
              <w:spacing w:before="100" w:beforeAutospacing="1" w:after="100" w:afterAutospacing="1" w:line="300" w:lineRule="atLeast"/>
              <w:rPr>
                <w:rFonts w:eastAsia="Times New Roman" w:cs="Arial"/>
                <w:kern w:val="0"/>
                <w:lang w:eastAsia="en-GB"/>
                <w14:ligatures w14:val="none"/>
              </w:rPr>
            </w:pPr>
            <w:r w:rsidRPr="00327A75">
              <w:rPr>
                <w:rFonts w:eastAsia="Times New Roman" w:cs="Arial"/>
                <w:b/>
                <w:bCs/>
                <w:kern w:val="0"/>
                <w:lang w:eastAsia="en-GB"/>
                <w14:ligatures w14:val="none"/>
              </w:rPr>
              <w:t xml:space="preserve">Menopause Support: </w:t>
            </w:r>
            <w:r w:rsidRPr="00327A75">
              <w:rPr>
                <w:rFonts w:eastAsia="Times New Roman" w:cs="Arial"/>
                <w:kern w:val="0"/>
                <w:lang w:eastAsia="en-GB"/>
                <w14:ligatures w14:val="none"/>
              </w:rPr>
              <w:t>Deliver menopause workshops providing education, support and signposting to adjustments and wellbeing resources.</w:t>
            </w:r>
          </w:p>
          <w:p w14:paraId="77E5BE45" w14:textId="3FC0E6A0" w:rsidR="00CD1D82" w:rsidRPr="00327A75" w:rsidRDefault="00CD1D82" w:rsidP="00CD1D82">
            <w:pPr>
              <w:spacing w:before="100" w:beforeAutospacing="1" w:after="100" w:afterAutospacing="1" w:line="300" w:lineRule="atLeast"/>
              <w:rPr>
                <w:rFonts w:eastAsia="Times New Roman" w:cs="Arial"/>
                <w:kern w:val="0"/>
                <w:lang w:eastAsia="en-GB"/>
                <w14:ligatures w14:val="none"/>
              </w:rPr>
            </w:pPr>
            <w:r w:rsidRPr="00327A75">
              <w:rPr>
                <w:rFonts w:eastAsia="Times New Roman" w:cs="Arial"/>
                <w:b/>
                <w:bCs/>
                <w:kern w:val="0"/>
                <w:lang w:eastAsia="en-GB"/>
                <w14:ligatures w14:val="none"/>
              </w:rPr>
              <w:t xml:space="preserve">Reasonable Adjustments: </w:t>
            </w:r>
            <w:r w:rsidRPr="00327A75">
              <w:rPr>
                <w:rFonts w:eastAsia="Times New Roman" w:cs="Arial"/>
                <w:kern w:val="0"/>
                <w:lang w:eastAsia="en-GB"/>
                <w14:ligatures w14:val="none"/>
              </w:rPr>
              <w:t>Improve manager capability and streamline support pathways for staff seeking reasonable adjustments, aligned with policy expectations.</w:t>
            </w:r>
          </w:p>
          <w:p w14:paraId="2EA57A44" w14:textId="0C51B496" w:rsidR="008C436E" w:rsidRPr="00327A75" w:rsidRDefault="00CD1D82" w:rsidP="00CD1D82">
            <w:pPr>
              <w:spacing w:before="100" w:beforeAutospacing="1" w:after="100" w:afterAutospacing="1" w:line="300" w:lineRule="atLeast"/>
              <w:rPr>
                <w:rFonts w:eastAsia="Times New Roman" w:cs="Arial"/>
                <w:kern w:val="0"/>
                <w:lang w:eastAsia="en-GB"/>
                <w14:ligatures w14:val="none"/>
              </w:rPr>
            </w:pPr>
            <w:r w:rsidRPr="00327A75">
              <w:rPr>
                <w:rFonts w:eastAsia="Times New Roman" w:cs="Arial"/>
                <w:b/>
                <w:bCs/>
                <w:kern w:val="0"/>
                <w:lang w:eastAsia="en-GB"/>
                <w14:ligatures w14:val="none"/>
              </w:rPr>
              <w:t xml:space="preserve">WRES &amp; WDES: </w:t>
            </w:r>
            <w:r w:rsidRPr="00327A75">
              <w:rPr>
                <w:rFonts w:eastAsia="Times New Roman" w:cs="Arial"/>
                <w:kern w:val="0"/>
                <w:lang w:eastAsia="en-GB"/>
                <w14:ligatures w14:val="none"/>
              </w:rPr>
              <w:t>Continue delivery of Workforce Race Equality Standard and Workforce Disability Equality Standard action plans, focusing on measurable improvements in staff experience and outcome</w:t>
            </w:r>
          </w:p>
        </w:tc>
      </w:tr>
    </w:tbl>
    <w:p w14:paraId="0D5B447B" w14:textId="77777777" w:rsidR="008C436E" w:rsidRPr="009712DB" w:rsidRDefault="008C436E" w:rsidP="008C436E">
      <w:pPr>
        <w:spacing w:after="0"/>
      </w:pPr>
    </w:p>
    <w:p w14:paraId="47ECBAEC" w14:textId="77777777" w:rsidR="008C436E" w:rsidRPr="009712DB" w:rsidRDefault="008C436E" w:rsidP="008C436E">
      <w:pPr>
        <w:spacing w:after="0"/>
      </w:pPr>
    </w:p>
    <w:tbl>
      <w:tblPr>
        <w:tblStyle w:val="TableGrid"/>
        <w:tblW w:w="5000" w:type="pct"/>
        <w:tblBorders>
          <w:top w:val="single" w:sz="4" w:space="0" w:color="4C6272"/>
          <w:left w:val="single" w:sz="4" w:space="0" w:color="4C6272"/>
          <w:bottom w:val="single" w:sz="4" w:space="0" w:color="4C6272"/>
          <w:right w:val="single" w:sz="4" w:space="0" w:color="4C6272"/>
          <w:insideH w:val="single" w:sz="4" w:space="0" w:color="4C6272"/>
          <w:insideV w:val="single" w:sz="4" w:space="0" w:color="4C6272"/>
        </w:tblBorders>
        <w:tblCellMar>
          <w:top w:w="142" w:type="dxa"/>
          <w:left w:w="142" w:type="dxa"/>
          <w:bottom w:w="142" w:type="dxa"/>
          <w:right w:w="142" w:type="dxa"/>
        </w:tblCellMar>
        <w:tblLook w:val="04A0" w:firstRow="1" w:lastRow="0" w:firstColumn="1" w:lastColumn="0" w:noHBand="0" w:noVBand="1"/>
      </w:tblPr>
      <w:tblGrid>
        <w:gridCol w:w="854"/>
        <w:gridCol w:w="5154"/>
        <w:gridCol w:w="4448"/>
      </w:tblGrid>
      <w:tr w:rsidR="009712DB" w:rsidRPr="009712DB" w14:paraId="4C69B66F" w14:textId="77777777" w:rsidTr="001C628F">
        <w:tc>
          <w:tcPr>
            <w:tcW w:w="10456" w:type="dxa"/>
            <w:gridSpan w:val="3"/>
            <w:tcBorders>
              <w:bottom w:val="single" w:sz="4" w:space="0" w:color="4C6272"/>
            </w:tcBorders>
            <w:shd w:val="clear" w:color="auto" w:fill="4C6272"/>
          </w:tcPr>
          <w:p w14:paraId="79DA728E" w14:textId="2D5AFCC0" w:rsidR="00AA3F28" w:rsidRPr="009712DB" w:rsidRDefault="00AA3F28" w:rsidP="001C628F">
            <w:pPr>
              <w:rPr>
                <w:rFonts w:cs="Arial"/>
                <w:b/>
                <w:bCs/>
              </w:rPr>
            </w:pPr>
            <w:r w:rsidRPr="009712DB">
              <w:rPr>
                <w:rFonts w:cs="Arial"/>
                <w:b/>
                <w:bCs/>
              </w:rPr>
              <w:t xml:space="preserve">Strategic Aims </w:t>
            </w:r>
            <w:r w:rsidRPr="009712DB">
              <w:rPr>
                <w:rFonts w:cs="Arial"/>
              </w:rPr>
              <w:t>(tick as appropriate)</w:t>
            </w:r>
          </w:p>
        </w:tc>
      </w:tr>
      <w:tr w:rsidR="009712DB" w:rsidRPr="009712DB" w14:paraId="35A733B1" w14:textId="77777777" w:rsidTr="001C628F">
        <w:tc>
          <w:tcPr>
            <w:tcW w:w="740" w:type="dxa"/>
            <w:tcBorders>
              <w:right w:val="nil"/>
            </w:tcBorders>
          </w:tcPr>
          <w:p w14:paraId="0E889C1D" w14:textId="77777777" w:rsidR="00AA3F28" w:rsidRPr="009712DB" w:rsidRDefault="00AA3F28" w:rsidP="001C628F">
            <w:pPr>
              <w:rPr>
                <w:rFonts w:cs="Arial"/>
              </w:rPr>
            </w:pPr>
            <w:r w:rsidRPr="009712DB">
              <w:rPr>
                <w:rFonts w:cs="Arial"/>
                <w:noProof/>
              </w:rPr>
              <w:drawing>
                <wp:inline distT="0" distB="0" distL="0" distR="0" wp14:anchorId="485110D7" wp14:editId="1AF3A103">
                  <wp:extent cx="360000" cy="360000"/>
                  <wp:effectExtent l="0" t="0" r="2540" b="2540"/>
                  <wp:docPr id="157408069" name="Picture 10" descr="A logo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8069" name="Picture 10" descr="A logo of a cha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209" w:type="dxa"/>
            <w:tcBorders>
              <w:left w:val="nil"/>
            </w:tcBorders>
            <w:vAlign w:val="center"/>
          </w:tcPr>
          <w:p w14:paraId="29D9CB92" w14:textId="77777777" w:rsidR="00AA3F28" w:rsidRPr="009712DB" w:rsidRDefault="00AA3F28" w:rsidP="001C628F">
            <w:pPr>
              <w:rPr>
                <w:rFonts w:cs="Arial"/>
                <w:b/>
                <w:bCs/>
              </w:rPr>
            </w:pPr>
            <w:r w:rsidRPr="009712DB">
              <w:rPr>
                <w:rFonts w:cs="Arial"/>
                <w:b/>
                <w:bCs/>
              </w:rPr>
              <w:t xml:space="preserve">Patient experience and voice                                              </w:t>
            </w:r>
          </w:p>
        </w:tc>
        <w:tc>
          <w:tcPr>
            <w:tcW w:w="4507" w:type="dxa"/>
          </w:tcPr>
          <w:p w14:paraId="23635B02" w14:textId="77777777" w:rsidR="00AA3F28" w:rsidRPr="009712DB" w:rsidRDefault="00AA3F28" w:rsidP="001C628F">
            <w:pPr>
              <w:rPr>
                <w:rFonts w:cs="Arial"/>
              </w:rPr>
            </w:pPr>
          </w:p>
        </w:tc>
      </w:tr>
      <w:tr w:rsidR="009712DB" w:rsidRPr="009712DB" w14:paraId="214F58EE" w14:textId="77777777" w:rsidTr="001C628F">
        <w:tc>
          <w:tcPr>
            <w:tcW w:w="740" w:type="dxa"/>
            <w:tcBorders>
              <w:right w:val="nil"/>
            </w:tcBorders>
          </w:tcPr>
          <w:p w14:paraId="6A76F094" w14:textId="77777777" w:rsidR="00AA3F28" w:rsidRPr="009712DB" w:rsidRDefault="00AA3F28" w:rsidP="001C628F">
            <w:pPr>
              <w:rPr>
                <w:rFonts w:cs="Arial"/>
              </w:rPr>
            </w:pPr>
            <w:r w:rsidRPr="009712DB">
              <w:rPr>
                <w:rFonts w:cs="Arial"/>
                <w:noProof/>
              </w:rPr>
              <w:drawing>
                <wp:inline distT="0" distB="0" distL="0" distR="0" wp14:anchorId="3C7D47B9" wp14:editId="3CC98B59">
                  <wp:extent cx="360000" cy="360000"/>
                  <wp:effectExtent l="0" t="0" r="2540" b="2540"/>
                  <wp:docPr id="1252931148" name="Picture 11" descr="A logo with a heart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31148" name="Picture 11" descr="A logo with a heart in the cen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209" w:type="dxa"/>
            <w:tcBorders>
              <w:left w:val="nil"/>
            </w:tcBorders>
            <w:vAlign w:val="center"/>
          </w:tcPr>
          <w:p w14:paraId="6FF85174" w14:textId="77777777" w:rsidR="00AA3F28" w:rsidRPr="009712DB" w:rsidRDefault="00AA3F28" w:rsidP="001C628F">
            <w:pPr>
              <w:rPr>
                <w:rFonts w:cs="Arial"/>
                <w:b/>
                <w:bCs/>
              </w:rPr>
            </w:pPr>
            <w:r w:rsidRPr="009712DB">
              <w:rPr>
                <w:rFonts w:cs="Arial"/>
                <w:b/>
                <w:bCs/>
              </w:rPr>
              <w:t xml:space="preserve">People, culture and leadership                                            </w:t>
            </w:r>
          </w:p>
        </w:tc>
        <w:tc>
          <w:tcPr>
            <w:tcW w:w="4507" w:type="dxa"/>
          </w:tcPr>
          <w:p w14:paraId="2459BA5D" w14:textId="2AB778C4" w:rsidR="00AA3F28" w:rsidRPr="00697EB4" w:rsidRDefault="00AA3F28" w:rsidP="001C628F">
            <w:pPr>
              <w:rPr>
                <w:rFonts w:cs="Arial"/>
                <w:sz w:val="32"/>
                <w:szCs w:val="32"/>
              </w:rPr>
            </w:pPr>
            <w:r w:rsidRPr="009712DB">
              <w:rPr>
                <w:rFonts w:cs="Arial"/>
              </w:rPr>
              <w:t xml:space="preserve"> </w:t>
            </w:r>
            <w:r w:rsidR="00A354BC" w:rsidRPr="00697EB4">
              <w:rPr>
                <w:sz w:val="32"/>
                <w:szCs w:val="32"/>
              </w:rPr>
              <w:sym w:font="Wingdings" w:char="F0FC"/>
            </w:r>
          </w:p>
        </w:tc>
      </w:tr>
      <w:tr w:rsidR="009712DB" w:rsidRPr="009712DB" w14:paraId="156012EA" w14:textId="77777777" w:rsidTr="001C628F">
        <w:tc>
          <w:tcPr>
            <w:tcW w:w="740" w:type="dxa"/>
            <w:tcBorders>
              <w:right w:val="nil"/>
            </w:tcBorders>
          </w:tcPr>
          <w:p w14:paraId="7C135F73" w14:textId="77777777" w:rsidR="00AA3F28" w:rsidRPr="009712DB" w:rsidRDefault="00AA3F28" w:rsidP="001C628F">
            <w:pPr>
              <w:rPr>
                <w:rFonts w:cs="Arial"/>
              </w:rPr>
            </w:pPr>
            <w:r w:rsidRPr="009712DB">
              <w:rPr>
                <w:rFonts w:cs="Arial"/>
                <w:noProof/>
              </w:rPr>
              <w:drawing>
                <wp:inline distT="0" distB="0" distL="0" distR="0" wp14:anchorId="7332065B" wp14:editId="5AF9D0BB">
                  <wp:extent cx="360000" cy="360000"/>
                  <wp:effectExtent l="0" t="0" r="2540" b="2540"/>
                  <wp:docPr id="1947806172" name="Picture 12"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06172" name="Picture 12" descr="A group of people in a circ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209" w:type="dxa"/>
            <w:tcBorders>
              <w:left w:val="nil"/>
            </w:tcBorders>
            <w:vAlign w:val="center"/>
          </w:tcPr>
          <w:p w14:paraId="0E41B970" w14:textId="77777777" w:rsidR="00AA3F28" w:rsidRPr="009712DB" w:rsidRDefault="00AA3F28" w:rsidP="001C628F">
            <w:pPr>
              <w:rPr>
                <w:rFonts w:cs="Arial"/>
                <w:b/>
                <w:bCs/>
              </w:rPr>
            </w:pPr>
            <w:r w:rsidRPr="009712DB">
              <w:rPr>
                <w:rFonts w:cs="Arial"/>
                <w:b/>
                <w:bCs/>
              </w:rPr>
              <w:t xml:space="preserve">Quality, safety and delivery                                                          </w:t>
            </w:r>
          </w:p>
        </w:tc>
        <w:tc>
          <w:tcPr>
            <w:tcW w:w="4507" w:type="dxa"/>
          </w:tcPr>
          <w:p w14:paraId="0A73BE81" w14:textId="3A9B8E4E" w:rsidR="00AA3F28" w:rsidRPr="009712DB" w:rsidRDefault="00AA3F28" w:rsidP="001C628F">
            <w:pPr>
              <w:rPr>
                <w:rFonts w:cs="Arial"/>
              </w:rPr>
            </w:pPr>
          </w:p>
        </w:tc>
      </w:tr>
      <w:tr w:rsidR="00AA3F28" w:rsidRPr="009712DB" w14:paraId="6C38563B" w14:textId="77777777" w:rsidTr="001C628F">
        <w:tc>
          <w:tcPr>
            <w:tcW w:w="740" w:type="dxa"/>
            <w:tcBorders>
              <w:right w:val="nil"/>
            </w:tcBorders>
          </w:tcPr>
          <w:p w14:paraId="21C24964" w14:textId="77777777" w:rsidR="00AA3F28" w:rsidRPr="009712DB" w:rsidRDefault="00AA3F28" w:rsidP="001C628F">
            <w:pPr>
              <w:rPr>
                <w:rFonts w:cs="Arial"/>
              </w:rPr>
            </w:pPr>
            <w:r w:rsidRPr="009712DB">
              <w:rPr>
                <w:rFonts w:cs="Arial"/>
                <w:noProof/>
              </w:rPr>
              <w:drawing>
                <wp:inline distT="0" distB="0" distL="0" distR="0" wp14:anchorId="4237CE43" wp14:editId="2E75097D">
                  <wp:extent cx="360000" cy="360000"/>
                  <wp:effectExtent l="0" t="0" r="2540" b="2540"/>
                  <wp:docPr id="1822402047" name="Picture 13" descr="A purple and white computer with a cros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02047" name="Picture 13" descr="A purple and white computer with a cross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209" w:type="dxa"/>
            <w:tcBorders>
              <w:left w:val="nil"/>
            </w:tcBorders>
            <w:vAlign w:val="center"/>
          </w:tcPr>
          <w:p w14:paraId="35864584" w14:textId="77777777" w:rsidR="00AA3F28" w:rsidRPr="009712DB" w:rsidRDefault="00AA3F28" w:rsidP="001C628F">
            <w:pPr>
              <w:rPr>
                <w:rFonts w:cs="Arial"/>
                <w:b/>
                <w:bCs/>
              </w:rPr>
            </w:pPr>
            <w:r w:rsidRPr="009712DB">
              <w:rPr>
                <w:rFonts w:cs="Arial"/>
                <w:b/>
                <w:bCs/>
              </w:rPr>
              <w:t xml:space="preserve">Digital first             </w:t>
            </w:r>
            <w:r w:rsidRPr="009712DB">
              <w:rPr>
                <w:rFonts w:cs="Arial"/>
                <w:b/>
                <w:bCs/>
                <w:noProof/>
              </w:rPr>
              <w:t xml:space="preserve">                                                                        </w:t>
            </w:r>
          </w:p>
        </w:tc>
        <w:tc>
          <w:tcPr>
            <w:tcW w:w="4507" w:type="dxa"/>
          </w:tcPr>
          <w:p w14:paraId="7B2597AA" w14:textId="77777777" w:rsidR="00AA3F28" w:rsidRPr="009712DB" w:rsidRDefault="00AA3F28" w:rsidP="001C628F">
            <w:pPr>
              <w:rPr>
                <w:rFonts w:cs="Arial"/>
              </w:rPr>
            </w:pPr>
          </w:p>
        </w:tc>
      </w:tr>
    </w:tbl>
    <w:p w14:paraId="732BFECA" w14:textId="77777777" w:rsidR="00AA3F28" w:rsidRDefault="00AA3F28" w:rsidP="008C436E">
      <w:pPr>
        <w:spacing w:after="0"/>
      </w:pPr>
    </w:p>
    <w:p w14:paraId="6C1E1EE1" w14:textId="77777777" w:rsidR="00327A75" w:rsidRPr="009712DB" w:rsidRDefault="00327A75" w:rsidP="008C436E">
      <w:pPr>
        <w:spacing w:after="0"/>
      </w:pPr>
    </w:p>
    <w:tbl>
      <w:tblPr>
        <w:tblStyle w:val="TableGrid"/>
        <w:tblW w:w="5000" w:type="pct"/>
        <w:tblCellMar>
          <w:top w:w="142" w:type="dxa"/>
          <w:left w:w="142" w:type="dxa"/>
          <w:bottom w:w="142" w:type="dxa"/>
          <w:right w:w="142" w:type="dxa"/>
        </w:tblCellMar>
        <w:tblLook w:val="04A0" w:firstRow="1" w:lastRow="0" w:firstColumn="1" w:lastColumn="0" w:noHBand="0" w:noVBand="1"/>
      </w:tblPr>
      <w:tblGrid>
        <w:gridCol w:w="10456"/>
      </w:tblGrid>
      <w:tr w:rsidR="009712DB" w:rsidRPr="009712DB" w14:paraId="3559DEA3" w14:textId="77777777" w:rsidTr="008C436E">
        <w:tc>
          <w:tcPr>
            <w:tcW w:w="10456" w:type="dxa"/>
            <w:shd w:val="clear" w:color="auto" w:fill="4C6272"/>
          </w:tcPr>
          <w:p w14:paraId="6141D373" w14:textId="77777777" w:rsidR="008C436E" w:rsidRPr="009712DB" w:rsidRDefault="008C436E" w:rsidP="001C628F">
            <w:pPr>
              <w:rPr>
                <w:b/>
                <w:bCs/>
              </w:rPr>
            </w:pPr>
            <w:r w:rsidRPr="009712DB">
              <w:rPr>
                <w:b/>
                <w:bCs/>
              </w:rPr>
              <w:t>Impact on any Strategic Risks?</w:t>
            </w:r>
          </w:p>
        </w:tc>
      </w:tr>
      <w:tr w:rsidR="008C436E" w:rsidRPr="009712DB" w14:paraId="5A4C154A" w14:textId="77777777" w:rsidTr="001C628F">
        <w:tc>
          <w:tcPr>
            <w:tcW w:w="10456" w:type="dxa"/>
          </w:tcPr>
          <w:p w14:paraId="53BED05B" w14:textId="76BA342C" w:rsidR="008C436E" w:rsidRPr="009712DB" w:rsidRDefault="00327A75" w:rsidP="00327A75">
            <w:pPr>
              <w:rPr>
                <w:i/>
                <w:iCs/>
                <w:sz w:val="22"/>
                <w:szCs w:val="22"/>
              </w:rPr>
            </w:pPr>
            <w:r w:rsidRPr="00327A75">
              <w:rPr>
                <w:rFonts w:cstheme="minorHAnsi"/>
              </w:rPr>
              <w:t>BAF 03</w:t>
            </w:r>
            <w:r>
              <w:rPr>
                <w:rFonts w:cstheme="minorHAnsi"/>
              </w:rPr>
              <w:t xml:space="preserve"> - </w:t>
            </w:r>
            <w:r w:rsidRPr="00327A75">
              <w:t>Inability to retain a skilled, compassionate and diverse workforce that reflects the communities we serve because of a poor cultural environment and lack of development opportunities, impacting overall staff experience.</w:t>
            </w:r>
          </w:p>
        </w:tc>
      </w:tr>
    </w:tbl>
    <w:p w14:paraId="37E72F91" w14:textId="77777777" w:rsidR="008C436E" w:rsidRPr="009712DB" w:rsidRDefault="008C436E" w:rsidP="008C436E">
      <w:pPr>
        <w:spacing w:after="0"/>
      </w:pPr>
    </w:p>
    <w:tbl>
      <w:tblPr>
        <w:tblStyle w:val="TableGrid"/>
        <w:tblW w:w="5000" w:type="pct"/>
        <w:tblCellMar>
          <w:top w:w="142" w:type="dxa"/>
          <w:left w:w="142" w:type="dxa"/>
          <w:bottom w:w="142" w:type="dxa"/>
          <w:right w:w="142" w:type="dxa"/>
        </w:tblCellMar>
        <w:tblLook w:val="04A0" w:firstRow="1" w:lastRow="0" w:firstColumn="1" w:lastColumn="0" w:noHBand="0" w:noVBand="1"/>
      </w:tblPr>
      <w:tblGrid>
        <w:gridCol w:w="2954"/>
        <w:gridCol w:w="7502"/>
      </w:tblGrid>
      <w:tr w:rsidR="009712DB" w:rsidRPr="009712DB" w14:paraId="7109B388" w14:textId="77777777" w:rsidTr="008C436E">
        <w:tc>
          <w:tcPr>
            <w:tcW w:w="10456" w:type="dxa"/>
            <w:gridSpan w:val="2"/>
            <w:shd w:val="clear" w:color="auto" w:fill="4C6272"/>
          </w:tcPr>
          <w:p w14:paraId="4E175AF8" w14:textId="77777777" w:rsidR="008C436E" w:rsidRPr="009712DB" w:rsidRDefault="008C436E" w:rsidP="001C628F">
            <w:pPr>
              <w:rPr>
                <w:b/>
                <w:bCs/>
              </w:rPr>
            </w:pPr>
            <w:r w:rsidRPr="009712DB">
              <w:rPr>
                <w:b/>
                <w:bCs/>
              </w:rPr>
              <w:t>Implications on:</w:t>
            </w:r>
          </w:p>
        </w:tc>
      </w:tr>
      <w:tr w:rsidR="009712DB" w:rsidRPr="009712DB" w14:paraId="5FF93A85" w14:textId="77777777" w:rsidTr="00AA3F28">
        <w:trPr>
          <w:trHeight w:val="300"/>
        </w:trPr>
        <w:tc>
          <w:tcPr>
            <w:tcW w:w="2954" w:type="dxa"/>
            <w:shd w:val="clear" w:color="auto" w:fill="F0F4F5"/>
          </w:tcPr>
          <w:p w14:paraId="1C3967A3" w14:textId="77777777" w:rsidR="008C436E" w:rsidRPr="00EC0288" w:rsidRDefault="008C436E" w:rsidP="001C628F">
            <w:pPr>
              <w:rPr>
                <w:b/>
                <w:bCs/>
              </w:rPr>
            </w:pPr>
            <w:r w:rsidRPr="00EC0288">
              <w:rPr>
                <w:b/>
                <w:bCs/>
              </w:rPr>
              <w:t xml:space="preserve">Equality, Diversity </w:t>
            </w:r>
            <w:r w:rsidRPr="00EC0288">
              <w:rPr>
                <w:b/>
                <w:bCs/>
              </w:rPr>
              <w:br/>
              <w:t>and Inclusion</w:t>
            </w:r>
          </w:p>
        </w:tc>
        <w:tc>
          <w:tcPr>
            <w:tcW w:w="7502" w:type="dxa"/>
          </w:tcPr>
          <w:p w14:paraId="61499C2C" w14:textId="2EDB7030" w:rsidR="008C436E" w:rsidRPr="00327A75" w:rsidRDefault="00BA48DF" w:rsidP="00BA48DF">
            <w:pPr>
              <w:spacing w:line="300" w:lineRule="atLeast"/>
              <w:rPr>
                <w:rFonts w:eastAsia="Times New Roman" w:cs="Arial"/>
                <w:kern w:val="0"/>
                <w:lang w:eastAsia="en-GB"/>
                <w14:ligatures w14:val="none"/>
              </w:rPr>
            </w:pPr>
            <w:r w:rsidRPr="00327A75">
              <w:rPr>
                <w:rFonts w:eastAsia="Times New Roman" w:cs="Arial"/>
                <w:kern w:val="0"/>
                <w:lang w:eastAsia="en-GB"/>
                <w14:ligatures w14:val="none"/>
              </w:rPr>
              <w:t>Supports a fairer, more supportive environment that should gradually narrow the Gender</w:t>
            </w:r>
            <w:r w:rsidR="00C955E4" w:rsidRPr="00327A75">
              <w:rPr>
                <w:rFonts w:eastAsia="Times New Roman" w:cs="Arial"/>
                <w:kern w:val="0"/>
                <w:lang w:eastAsia="en-GB"/>
                <w14:ligatures w14:val="none"/>
              </w:rPr>
              <w:t>, Ethnicity and Disability</w:t>
            </w:r>
            <w:r w:rsidRPr="00327A75">
              <w:rPr>
                <w:rFonts w:eastAsia="Times New Roman" w:cs="Arial"/>
                <w:kern w:val="0"/>
                <w:lang w:eastAsia="en-GB"/>
                <w14:ligatures w14:val="none"/>
              </w:rPr>
              <w:t xml:space="preserve"> Pay Gap</w:t>
            </w:r>
            <w:r w:rsidR="00C955E4" w:rsidRPr="00327A75">
              <w:rPr>
                <w:rFonts w:eastAsia="Times New Roman" w:cs="Arial"/>
                <w:kern w:val="0"/>
                <w:lang w:eastAsia="en-GB"/>
                <w14:ligatures w14:val="none"/>
              </w:rPr>
              <w:t xml:space="preserve">s </w:t>
            </w:r>
            <w:r w:rsidRPr="00327A75">
              <w:rPr>
                <w:rFonts w:eastAsia="Times New Roman" w:cs="Arial"/>
                <w:kern w:val="0"/>
                <w:lang w:eastAsia="en-GB"/>
                <w14:ligatures w14:val="none"/>
              </w:rPr>
              <w:t>by improving access to senior roles, reducing barriers to progression, and enhancing retention.</w:t>
            </w:r>
          </w:p>
        </w:tc>
      </w:tr>
      <w:tr w:rsidR="009712DB" w:rsidRPr="009712DB" w14:paraId="3D6CA662" w14:textId="77777777" w:rsidTr="00AA3F28">
        <w:trPr>
          <w:trHeight w:val="300"/>
        </w:trPr>
        <w:tc>
          <w:tcPr>
            <w:tcW w:w="2954" w:type="dxa"/>
            <w:shd w:val="clear" w:color="auto" w:fill="F0F4F5"/>
          </w:tcPr>
          <w:p w14:paraId="7746E7CA" w14:textId="77777777" w:rsidR="008C436E" w:rsidRPr="00EC0288" w:rsidRDefault="008C436E" w:rsidP="001C628F">
            <w:pPr>
              <w:rPr>
                <w:b/>
                <w:bCs/>
              </w:rPr>
            </w:pPr>
            <w:r w:rsidRPr="00EC0288">
              <w:rPr>
                <w:b/>
                <w:bCs/>
              </w:rPr>
              <w:t>Health Inequalities</w:t>
            </w:r>
          </w:p>
        </w:tc>
        <w:tc>
          <w:tcPr>
            <w:tcW w:w="7502" w:type="dxa"/>
          </w:tcPr>
          <w:p w14:paraId="76372AAA" w14:textId="137557A8" w:rsidR="008C436E" w:rsidRPr="00327A75" w:rsidRDefault="00327A75" w:rsidP="001C628F">
            <w:pPr>
              <w:rPr>
                <w:rFonts w:cs="Arial"/>
              </w:rPr>
            </w:pPr>
            <w:r>
              <w:rPr>
                <w:rFonts w:cs="Arial"/>
              </w:rPr>
              <w:t>N/A</w:t>
            </w:r>
          </w:p>
        </w:tc>
      </w:tr>
      <w:tr w:rsidR="009712DB" w:rsidRPr="009712DB" w14:paraId="285346E7" w14:textId="77777777" w:rsidTr="00AA3F28">
        <w:trPr>
          <w:trHeight w:val="300"/>
        </w:trPr>
        <w:tc>
          <w:tcPr>
            <w:tcW w:w="2954" w:type="dxa"/>
            <w:shd w:val="clear" w:color="auto" w:fill="F0F4F5"/>
          </w:tcPr>
          <w:p w14:paraId="0C37C35D" w14:textId="77777777" w:rsidR="008C436E" w:rsidRPr="00EC0288" w:rsidRDefault="008C436E" w:rsidP="001C628F">
            <w:pPr>
              <w:rPr>
                <w:b/>
                <w:bCs/>
              </w:rPr>
            </w:pPr>
            <w:r w:rsidRPr="00EC0288">
              <w:rPr>
                <w:b/>
                <w:bCs/>
              </w:rPr>
              <w:t xml:space="preserve">Finance and </w:t>
            </w:r>
            <w:proofErr w:type="gramStart"/>
            <w:r w:rsidRPr="00EC0288">
              <w:rPr>
                <w:b/>
                <w:bCs/>
              </w:rPr>
              <w:t>Resource</w:t>
            </w:r>
            <w:proofErr w:type="gramEnd"/>
          </w:p>
        </w:tc>
        <w:tc>
          <w:tcPr>
            <w:tcW w:w="7502" w:type="dxa"/>
          </w:tcPr>
          <w:p w14:paraId="524E7E62" w14:textId="70472C22" w:rsidR="008C436E" w:rsidRPr="00327A75" w:rsidRDefault="00327A75" w:rsidP="001C628F">
            <w:pPr>
              <w:rPr>
                <w:rFonts w:cs="Arial"/>
              </w:rPr>
            </w:pPr>
            <w:r>
              <w:rPr>
                <w:rFonts w:cs="Arial"/>
              </w:rPr>
              <w:t>N/A</w:t>
            </w:r>
          </w:p>
        </w:tc>
      </w:tr>
      <w:tr w:rsidR="009712DB" w:rsidRPr="009712DB" w14:paraId="040559B2" w14:textId="77777777" w:rsidTr="00AA3F28">
        <w:trPr>
          <w:trHeight w:val="300"/>
        </w:trPr>
        <w:tc>
          <w:tcPr>
            <w:tcW w:w="2954" w:type="dxa"/>
            <w:shd w:val="clear" w:color="auto" w:fill="F0F4F5"/>
          </w:tcPr>
          <w:p w14:paraId="1DD3C278" w14:textId="77777777" w:rsidR="008C436E" w:rsidRPr="00EC0288" w:rsidRDefault="008C436E" w:rsidP="001C628F">
            <w:pPr>
              <w:rPr>
                <w:b/>
                <w:bCs/>
              </w:rPr>
            </w:pPr>
            <w:r w:rsidRPr="00EC0288">
              <w:rPr>
                <w:b/>
                <w:bCs/>
              </w:rPr>
              <w:t>Regulation/Legal</w:t>
            </w:r>
          </w:p>
        </w:tc>
        <w:tc>
          <w:tcPr>
            <w:tcW w:w="7502" w:type="dxa"/>
          </w:tcPr>
          <w:p w14:paraId="5FD8320F" w14:textId="1210EDDE" w:rsidR="008C436E" w:rsidRPr="00327A75" w:rsidRDefault="009C4762" w:rsidP="009C4762">
            <w:pPr>
              <w:spacing w:line="300" w:lineRule="atLeast"/>
              <w:rPr>
                <w:rFonts w:eastAsia="Times New Roman" w:cs="Arial"/>
                <w:kern w:val="0"/>
                <w:lang w:eastAsia="en-GB"/>
                <w14:ligatures w14:val="none"/>
              </w:rPr>
            </w:pPr>
            <w:r w:rsidRPr="00327A75">
              <w:rPr>
                <w:rFonts w:eastAsia="Times New Roman" w:cs="Arial"/>
                <w:kern w:val="0"/>
                <w:lang w:eastAsia="en-GB"/>
                <w14:ligatures w14:val="none"/>
              </w:rPr>
              <w:t>This report confirms compliance with the requirement for all employers with 250 or more employees on the designated snapshot date each year to calculate, report and publish their gender pay gap data, in accordance with the Equality Act 2010</w:t>
            </w:r>
            <w:r w:rsidR="00327A75">
              <w:rPr>
                <w:rFonts w:eastAsia="Times New Roman" w:cs="Arial"/>
                <w:kern w:val="0"/>
                <w:lang w:eastAsia="en-GB"/>
                <w14:ligatures w14:val="none"/>
              </w:rPr>
              <w:t>.</w:t>
            </w:r>
          </w:p>
        </w:tc>
      </w:tr>
      <w:tr w:rsidR="009712DB" w:rsidRPr="009712DB" w14:paraId="4EF908AC" w14:textId="77777777" w:rsidTr="00AA3F28">
        <w:trPr>
          <w:trHeight w:val="300"/>
        </w:trPr>
        <w:tc>
          <w:tcPr>
            <w:tcW w:w="2954" w:type="dxa"/>
            <w:shd w:val="clear" w:color="auto" w:fill="F0F4F5"/>
          </w:tcPr>
          <w:p w14:paraId="5C4EB8E3" w14:textId="77777777" w:rsidR="008C436E" w:rsidRPr="009712DB" w:rsidRDefault="008C436E" w:rsidP="001C628F">
            <w:pPr>
              <w:rPr>
                <w:b/>
                <w:bCs/>
                <w:sz w:val="22"/>
                <w:szCs w:val="22"/>
              </w:rPr>
            </w:pPr>
            <w:r w:rsidRPr="009712DB">
              <w:rPr>
                <w:b/>
                <w:bCs/>
                <w:sz w:val="22"/>
                <w:szCs w:val="22"/>
              </w:rPr>
              <w:t>CQC-Key line of enquiry</w:t>
            </w:r>
          </w:p>
        </w:tc>
        <w:tc>
          <w:tcPr>
            <w:tcW w:w="7502" w:type="dxa"/>
          </w:tcPr>
          <w:p w14:paraId="5317B148" w14:textId="65F1FE53" w:rsidR="008C436E" w:rsidRPr="00327A75" w:rsidRDefault="00327A75" w:rsidP="001C628F">
            <w:pPr>
              <w:rPr>
                <w:rFonts w:cs="Arial"/>
              </w:rPr>
            </w:pPr>
            <w:r>
              <w:rPr>
                <w:rFonts w:cs="Arial"/>
              </w:rPr>
              <w:t>N/A</w:t>
            </w:r>
          </w:p>
        </w:tc>
      </w:tr>
      <w:tr w:rsidR="009712DB" w:rsidRPr="009712DB" w14:paraId="05B128A9" w14:textId="77777777" w:rsidTr="00AA3F28">
        <w:tc>
          <w:tcPr>
            <w:tcW w:w="2954" w:type="dxa"/>
            <w:shd w:val="clear" w:color="auto" w:fill="F0F4F5"/>
          </w:tcPr>
          <w:p w14:paraId="42CE8F71" w14:textId="77777777" w:rsidR="008C436E" w:rsidRPr="009712DB" w:rsidRDefault="008C436E" w:rsidP="001C628F">
            <w:pPr>
              <w:rPr>
                <w:b/>
                <w:bCs/>
                <w:sz w:val="22"/>
                <w:szCs w:val="22"/>
              </w:rPr>
            </w:pPr>
            <w:r w:rsidRPr="009712DB">
              <w:rPr>
                <w:b/>
                <w:bCs/>
                <w:sz w:val="22"/>
                <w:szCs w:val="22"/>
              </w:rPr>
              <w:t>Green Plan</w:t>
            </w:r>
          </w:p>
        </w:tc>
        <w:tc>
          <w:tcPr>
            <w:tcW w:w="7502" w:type="dxa"/>
          </w:tcPr>
          <w:p w14:paraId="0961BD8B" w14:textId="34ED638D" w:rsidR="008C436E" w:rsidRPr="00327A75" w:rsidRDefault="00327A75" w:rsidP="001C628F">
            <w:pPr>
              <w:rPr>
                <w:rFonts w:cs="Arial"/>
              </w:rPr>
            </w:pPr>
            <w:r>
              <w:rPr>
                <w:rFonts w:cs="Arial"/>
              </w:rPr>
              <w:t>N/A</w:t>
            </w:r>
          </w:p>
        </w:tc>
      </w:tr>
    </w:tbl>
    <w:p w14:paraId="4C48BA18" w14:textId="77777777" w:rsidR="008C436E" w:rsidRPr="009712DB" w:rsidRDefault="008C436E" w:rsidP="008C436E">
      <w:pPr>
        <w:spacing w:after="0"/>
      </w:pPr>
    </w:p>
    <w:tbl>
      <w:tblPr>
        <w:tblStyle w:val="TableGrid"/>
        <w:tblW w:w="4948" w:type="pct"/>
        <w:tblInd w:w="-5" w:type="dxa"/>
        <w:tblCellMar>
          <w:top w:w="142" w:type="dxa"/>
          <w:left w:w="142" w:type="dxa"/>
          <w:bottom w:w="142" w:type="dxa"/>
          <w:right w:w="142" w:type="dxa"/>
        </w:tblCellMar>
        <w:tblLook w:val="04A0" w:firstRow="1" w:lastRow="0" w:firstColumn="1" w:lastColumn="0" w:noHBand="0" w:noVBand="1"/>
      </w:tblPr>
      <w:tblGrid>
        <w:gridCol w:w="10442"/>
      </w:tblGrid>
      <w:tr w:rsidR="009712DB" w:rsidRPr="009712DB" w14:paraId="46EA681D" w14:textId="77777777" w:rsidTr="00BF0A24">
        <w:tc>
          <w:tcPr>
            <w:tcW w:w="5000" w:type="pct"/>
            <w:shd w:val="clear" w:color="auto" w:fill="4C6272"/>
          </w:tcPr>
          <w:p w14:paraId="4C788746" w14:textId="77777777" w:rsidR="008C436E" w:rsidRPr="009712DB" w:rsidRDefault="008C436E" w:rsidP="001C628F">
            <w:pPr>
              <w:rPr>
                <w:b/>
                <w:bCs/>
              </w:rPr>
            </w:pPr>
            <w:r w:rsidRPr="009712DB">
              <w:rPr>
                <w:b/>
                <w:bCs/>
              </w:rPr>
              <w:t xml:space="preserve">Main Report </w:t>
            </w:r>
          </w:p>
        </w:tc>
      </w:tr>
      <w:tr w:rsidR="009712DB" w:rsidRPr="009712DB" w14:paraId="67708D5A" w14:textId="77777777" w:rsidTr="00BF0A24">
        <w:trPr>
          <w:cantSplit/>
        </w:trPr>
        <w:tc>
          <w:tcPr>
            <w:tcW w:w="5000" w:type="pct"/>
          </w:tcPr>
          <w:p w14:paraId="061D7406" w14:textId="3018EDDB" w:rsidR="008D7F61" w:rsidRPr="003E7E31" w:rsidRDefault="008D7F61" w:rsidP="00BF0A24">
            <w:pPr>
              <w:pStyle w:val="Heading1"/>
              <w:numPr>
                <w:ilvl w:val="0"/>
                <w:numId w:val="12"/>
              </w:numPr>
              <w:spacing w:after="0" w:line="276" w:lineRule="auto"/>
              <w:ind w:left="709" w:hanging="709"/>
              <w:rPr>
                <w:color w:val="auto"/>
                <w:sz w:val="24"/>
                <w:szCs w:val="24"/>
              </w:rPr>
            </w:pPr>
            <w:r w:rsidRPr="003E7E31">
              <w:rPr>
                <w:color w:val="auto"/>
                <w:sz w:val="24"/>
                <w:szCs w:val="24"/>
              </w:rPr>
              <w:lastRenderedPageBreak/>
              <w:t>Executive Summary</w:t>
            </w:r>
          </w:p>
          <w:p w14:paraId="32F8BD0F" w14:textId="77777777" w:rsidR="008D7F61" w:rsidRDefault="008D7F61" w:rsidP="00BF0A24">
            <w:pPr>
              <w:pStyle w:val="ListParagraph"/>
              <w:numPr>
                <w:ilvl w:val="1"/>
                <w:numId w:val="13"/>
              </w:numPr>
              <w:spacing w:line="276" w:lineRule="auto"/>
              <w:ind w:left="720"/>
              <w:jc w:val="both"/>
            </w:pPr>
            <w:r w:rsidRPr="00615776">
              <w:t>This report outlines the Trust’s Gender, Ethnicity and Disability Pay Gaps for 2025 and highlights where inequalities remain in our workforce.</w:t>
            </w:r>
          </w:p>
          <w:p w14:paraId="0B79A8BE" w14:textId="77777777" w:rsidR="008D7F61" w:rsidRDefault="008D7F61" w:rsidP="00BF0A24">
            <w:pPr>
              <w:pStyle w:val="ListParagraph"/>
              <w:numPr>
                <w:ilvl w:val="1"/>
                <w:numId w:val="13"/>
              </w:numPr>
              <w:spacing w:before="360" w:line="276" w:lineRule="auto"/>
              <w:ind w:left="720"/>
              <w:jc w:val="both"/>
            </w:pPr>
            <w:r w:rsidRPr="00615776">
              <w:t>The Gender Pay Gap has increased to a 26.5% mean and 17.8% median gap, both in favour of men. Much of this is driven by high</w:t>
            </w:r>
            <w:r w:rsidRPr="00615776">
              <w:noBreakHyphen/>
              <w:t>value Clinical Excellence Awards within the Medical and Dental workforce.</w:t>
            </w:r>
          </w:p>
          <w:p w14:paraId="554B2EA7" w14:textId="77777777" w:rsidR="008D7F61" w:rsidRDefault="008D7F61" w:rsidP="00BF0A24">
            <w:pPr>
              <w:pStyle w:val="ListParagraph"/>
              <w:numPr>
                <w:ilvl w:val="1"/>
                <w:numId w:val="13"/>
              </w:numPr>
              <w:spacing w:before="360" w:line="276" w:lineRule="auto"/>
              <w:ind w:left="720"/>
              <w:jc w:val="both"/>
            </w:pPr>
            <w:r w:rsidRPr="00615776">
              <w:t>When Medical and Dental staff are excluded, the pay gap reduces significantly, showing near equal mean pay and a median gap in favour of women.</w:t>
            </w:r>
          </w:p>
          <w:p w14:paraId="4049AE42" w14:textId="77777777" w:rsidR="008D7F61" w:rsidRDefault="008D7F61" w:rsidP="00BF0A24">
            <w:pPr>
              <w:pStyle w:val="ListParagraph"/>
              <w:numPr>
                <w:ilvl w:val="1"/>
                <w:numId w:val="13"/>
              </w:numPr>
              <w:spacing w:before="360" w:line="276" w:lineRule="auto"/>
              <w:ind w:left="720"/>
              <w:jc w:val="both"/>
            </w:pPr>
            <w:r w:rsidRPr="00615776">
              <w:t>The Ethnicity Pay Gap is 1.2% in favour of ethnic minority staff, continuing a positive trend.</w:t>
            </w:r>
          </w:p>
          <w:p w14:paraId="65AF01E6" w14:textId="77777777" w:rsidR="008D7F61" w:rsidRDefault="008D7F61" w:rsidP="00BF0A24">
            <w:pPr>
              <w:pStyle w:val="ListParagraph"/>
              <w:numPr>
                <w:ilvl w:val="1"/>
                <w:numId w:val="13"/>
              </w:numPr>
              <w:spacing w:before="360" w:line="276" w:lineRule="auto"/>
              <w:ind w:left="720"/>
              <w:jc w:val="both"/>
            </w:pPr>
            <w:r w:rsidRPr="00615776">
              <w:t>The Disability Pay Gap is 13</w:t>
            </w:r>
            <w:r>
              <w:t>.1</w:t>
            </w:r>
            <w:r w:rsidRPr="00615776">
              <w:t>% in favour of non</w:t>
            </w:r>
            <w:r w:rsidRPr="00615776">
              <w:noBreakHyphen/>
              <w:t>disabled staff, reflecting lower numbers of disabled colleagues in higher</w:t>
            </w:r>
            <w:r w:rsidRPr="00615776">
              <w:noBreakHyphen/>
              <w:t>banded roles.</w:t>
            </w:r>
          </w:p>
          <w:p w14:paraId="73C86827" w14:textId="77777777" w:rsidR="00327A75" w:rsidRDefault="008D7F61" w:rsidP="00BF0A24">
            <w:pPr>
              <w:pStyle w:val="ListParagraph"/>
              <w:numPr>
                <w:ilvl w:val="1"/>
                <w:numId w:val="13"/>
              </w:numPr>
              <w:spacing w:before="360" w:line="276" w:lineRule="auto"/>
              <w:ind w:left="720"/>
              <w:jc w:val="both"/>
            </w:pPr>
            <w:r w:rsidRPr="00615776">
              <w:t>Women, ethnic minority staff and disabled staff are all underrepresented in senior roles, which contributes to pay gaps across the Trust.</w:t>
            </w:r>
          </w:p>
          <w:p w14:paraId="030C47A7" w14:textId="07ED1A77" w:rsidR="008D7F61" w:rsidRPr="00615776" w:rsidRDefault="008D7F61" w:rsidP="00BF0A24">
            <w:pPr>
              <w:pStyle w:val="ListParagraph"/>
              <w:numPr>
                <w:ilvl w:val="1"/>
                <w:numId w:val="13"/>
              </w:numPr>
              <w:spacing w:before="360" w:after="160" w:line="276" w:lineRule="auto"/>
              <w:ind w:left="720"/>
              <w:jc w:val="both"/>
            </w:pPr>
            <w:r w:rsidRPr="00615776">
              <w:t>The Trust remains committed to reducing these gaps. Key actions include improving inclusive recruitment, strengthening staff networks, supporting progression, enhancing use of cultural ambassadors, and improving access to reasonable</w:t>
            </w:r>
            <w:r>
              <w:t xml:space="preserve"> a</w:t>
            </w:r>
            <w:r w:rsidRPr="00615776">
              <w:t>djustments.</w:t>
            </w:r>
          </w:p>
          <w:p w14:paraId="2E612CCE" w14:textId="77777777" w:rsidR="008D7F61" w:rsidRPr="003E7E31" w:rsidRDefault="008D7F61" w:rsidP="00BF0A24">
            <w:pPr>
              <w:pStyle w:val="Heading1"/>
              <w:numPr>
                <w:ilvl w:val="0"/>
                <w:numId w:val="12"/>
              </w:numPr>
              <w:spacing w:after="0" w:line="276" w:lineRule="auto"/>
              <w:ind w:left="709" w:hanging="709"/>
              <w:rPr>
                <w:color w:val="auto"/>
                <w:sz w:val="24"/>
                <w:szCs w:val="24"/>
              </w:rPr>
            </w:pPr>
            <w:r w:rsidRPr="003E7E31">
              <w:rPr>
                <w:color w:val="auto"/>
                <w:sz w:val="24"/>
                <w:szCs w:val="24"/>
              </w:rPr>
              <w:t>Introduction</w:t>
            </w:r>
          </w:p>
          <w:p w14:paraId="61009CB2" w14:textId="77777777" w:rsidR="008D7F61" w:rsidRDefault="008D7F61" w:rsidP="00BF0A24">
            <w:pPr>
              <w:pStyle w:val="ListParagraph"/>
              <w:numPr>
                <w:ilvl w:val="1"/>
                <w:numId w:val="14"/>
              </w:numPr>
              <w:spacing w:after="360" w:line="276" w:lineRule="auto"/>
              <w:ind w:left="720"/>
              <w:jc w:val="both"/>
              <w:rPr>
                <w:rFonts w:cs="Arial"/>
              </w:rPr>
            </w:pPr>
            <w:r w:rsidRPr="004632E7">
              <w:rPr>
                <w:rFonts w:cs="Arial"/>
              </w:rPr>
              <w:t>The Equality Act 2010 requires public sector organisations with over 250 employees to publish their Gender Pay Gap each year. Although reporting on Ethnicity and Disability Pay Gaps is not mandatory, the Trust chooses to publish this information to support transparency and improvement.</w:t>
            </w:r>
          </w:p>
          <w:p w14:paraId="6F884BE7" w14:textId="77777777" w:rsidR="008D7F61" w:rsidRDefault="008D7F61" w:rsidP="00BF0A24">
            <w:pPr>
              <w:pStyle w:val="ListParagraph"/>
              <w:numPr>
                <w:ilvl w:val="1"/>
                <w:numId w:val="14"/>
              </w:numPr>
              <w:spacing w:before="360" w:after="360" w:line="276" w:lineRule="auto"/>
              <w:ind w:left="720"/>
              <w:jc w:val="both"/>
              <w:rPr>
                <w:rFonts w:cs="Arial"/>
              </w:rPr>
            </w:pPr>
            <w:r w:rsidRPr="004632E7">
              <w:rPr>
                <w:rFonts w:cs="Arial"/>
              </w:rPr>
              <w:t>We are committed to creating a fair and inclusive workplace where all colleagues feel respected and valued. Understanding our pay gaps helps us identify where inequalities exist and where further action is needed. Reducing these gaps remains a key priority, and we will continue to take meaningful steps to support equal access to development, progression, and opportunity.</w:t>
            </w:r>
          </w:p>
          <w:p w14:paraId="5AD4C4B1" w14:textId="77777777" w:rsidR="008D7F61" w:rsidRPr="003E7E31" w:rsidRDefault="008D7F61" w:rsidP="00BF0A24">
            <w:pPr>
              <w:pStyle w:val="ListParagraph"/>
              <w:numPr>
                <w:ilvl w:val="1"/>
                <w:numId w:val="14"/>
              </w:numPr>
              <w:spacing w:before="360" w:after="120" w:line="276" w:lineRule="auto"/>
              <w:ind w:left="720"/>
              <w:jc w:val="both"/>
              <w:rPr>
                <w:rFonts w:cs="Arial"/>
              </w:rPr>
            </w:pPr>
            <w:r w:rsidRPr="003E7E31">
              <w:rPr>
                <w:rFonts w:cs="Arial"/>
              </w:rPr>
              <w:t>At the time of reporting, the Trust employed 9,382 staff across a range of roles. Most staff, except Medical and Very Senior Managers, are paid through Agenda for Change, which supports consistent and equitable pay practices.</w:t>
            </w:r>
          </w:p>
          <w:p w14:paraId="2F8AAA2C" w14:textId="77777777" w:rsidR="008D7F61" w:rsidRPr="003E7E31" w:rsidRDefault="008D7F61" w:rsidP="00BF0A24">
            <w:pPr>
              <w:pStyle w:val="Heading1"/>
              <w:numPr>
                <w:ilvl w:val="0"/>
                <w:numId w:val="12"/>
              </w:numPr>
              <w:spacing w:after="0" w:line="276" w:lineRule="auto"/>
              <w:ind w:left="709" w:hanging="709"/>
              <w:rPr>
                <w:color w:val="auto"/>
                <w:sz w:val="24"/>
                <w:szCs w:val="24"/>
              </w:rPr>
            </w:pPr>
            <w:r w:rsidRPr="003E7E31">
              <w:rPr>
                <w:color w:val="auto"/>
                <w:sz w:val="24"/>
                <w:szCs w:val="24"/>
              </w:rPr>
              <w:t>Gloucestershire Demographics (Census 2021)</w:t>
            </w:r>
          </w:p>
          <w:p w14:paraId="022DFD9F" w14:textId="77777777" w:rsidR="00DF1E31" w:rsidRPr="00DF1E31" w:rsidRDefault="00DF1E31" w:rsidP="00BF0A24">
            <w:pPr>
              <w:pStyle w:val="ListParagraph"/>
              <w:numPr>
                <w:ilvl w:val="0"/>
                <w:numId w:val="14"/>
              </w:numPr>
              <w:spacing w:after="120" w:line="276" w:lineRule="auto"/>
              <w:jc w:val="both"/>
              <w:rPr>
                <w:rFonts w:cs="Arial"/>
                <w:vanish/>
              </w:rPr>
            </w:pPr>
          </w:p>
          <w:p w14:paraId="75AF14BA" w14:textId="73F7BD81" w:rsidR="008D7F61" w:rsidRPr="003E7E31" w:rsidRDefault="008D7F61" w:rsidP="00BF0A24">
            <w:pPr>
              <w:pStyle w:val="ListParagraph"/>
              <w:numPr>
                <w:ilvl w:val="1"/>
                <w:numId w:val="30"/>
              </w:numPr>
              <w:spacing w:after="120" w:line="276" w:lineRule="auto"/>
              <w:jc w:val="both"/>
              <w:rPr>
                <w:rFonts w:cs="Arial"/>
              </w:rPr>
            </w:pPr>
            <w:r w:rsidRPr="003E7E31">
              <w:rPr>
                <w:rFonts w:cs="Arial"/>
              </w:rPr>
              <w:t>51.1% of the population of Gloucestershire is female.</w:t>
            </w:r>
          </w:p>
          <w:p w14:paraId="58BB0CFE" w14:textId="77777777" w:rsidR="008D7F61" w:rsidRPr="003E7E31" w:rsidRDefault="008D7F61" w:rsidP="00BF0A24">
            <w:pPr>
              <w:pStyle w:val="ListParagraph"/>
              <w:numPr>
                <w:ilvl w:val="1"/>
                <w:numId w:val="30"/>
              </w:numPr>
              <w:spacing w:before="360" w:after="120" w:line="276" w:lineRule="auto"/>
              <w:jc w:val="both"/>
              <w:rPr>
                <w:rFonts w:cs="Arial"/>
              </w:rPr>
            </w:pPr>
            <w:r w:rsidRPr="003E7E31">
              <w:rPr>
                <w:rFonts w:cs="Arial"/>
              </w:rPr>
              <w:t xml:space="preserve">48.9% of the population of Gloucestershire is male. </w:t>
            </w:r>
          </w:p>
          <w:p w14:paraId="1AEE5BFE" w14:textId="77777777" w:rsidR="008D7F61" w:rsidRPr="003E7E31" w:rsidRDefault="008D7F61" w:rsidP="00BF0A24">
            <w:pPr>
              <w:pStyle w:val="ListParagraph"/>
              <w:numPr>
                <w:ilvl w:val="1"/>
                <w:numId w:val="30"/>
              </w:numPr>
              <w:spacing w:before="360" w:after="120" w:line="276" w:lineRule="auto"/>
              <w:jc w:val="both"/>
              <w:rPr>
                <w:rFonts w:cs="Arial"/>
              </w:rPr>
            </w:pPr>
            <w:r w:rsidRPr="003E7E31">
              <w:rPr>
                <w:rFonts w:cs="Arial"/>
              </w:rPr>
              <w:t xml:space="preserve">6.9% of the population of Gloucestershire is ethnically diverse. </w:t>
            </w:r>
          </w:p>
          <w:p w14:paraId="0DA0CAB8" w14:textId="4C262AAD" w:rsidR="008D7F61" w:rsidRPr="00327A75" w:rsidRDefault="008D7F61" w:rsidP="00BF0A24">
            <w:pPr>
              <w:pStyle w:val="ListParagraph"/>
              <w:numPr>
                <w:ilvl w:val="1"/>
                <w:numId w:val="30"/>
              </w:numPr>
              <w:spacing w:before="360" w:after="120" w:line="276" w:lineRule="auto"/>
              <w:jc w:val="both"/>
              <w:rPr>
                <w:rFonts w:cs="Arial"/>
              </w:rPr>
            </w:pPr>
            <w:r w:rsidRPr="003E7E31">
              <w:rPr>
                <w:rFonts w:cs="Arial"/>
              </w:rPr>
              <w:t xml:space="preserve">16.8% of the population of Gloucestershire is Disabled under the Equality Act.  </w:t>
            </w:r>
          </w:p>
          <w:p w14:paraId="6C8DBD5F" w14:textId="77777777" w:rsidR="008D7F61" w:rsidRPr="003E7E31" w:rsidRDefault="008D7F61" w:rsidP="00BF0A24">
            <w:pPr>
              <w:pStyle w:val="Heading1"/>
              <w:numPr>
                <w:ilvl w:val="0"/>
                <w:numId w:val="12"/>
              </w:numPr>
              <w:spacing w:after="0" w:line="276" w:lineRule="auto"/>
              <w:ind w:left="709" w:hanging="709"/>
              <w:rPr>
                <w:color w:val="auto"/>
                <w:sz w:val="24"/>
                <w:szCs w:val="24"/>
              </w:rPr>
            </w:pPr>
            <w:r w:rsidRPr="003E7E31">
              <w:rPr>
                <w:color w:val="auto"/>
                <w:sz w:val="24"/>
                <w:szCs w:val="24"/>
              </w:rPr>
              <w:t>What Are Pay Gaps</w:t>
            </w:r>
          </w:p>
          <w:p w14:paraId="14A6DF20" w14:textId="77777777" w:rsidR="008D7F61" w:rsidRDefault="008D7F61" w:rsidP="00BF0A24">
            <w:pPr>
              <w:pStyle w:val="ListParagraph"/>
              <w:numPr>
                <w:ilvl w:val="1"/>
                <w:numId w:val="16"/>
              </w:numPr>
              <w:spacing w:after="360" w:line="276" w:lineRule="auto"/>
              <w:ind w:left="709"/>
              <w:jc w:val="both"/>
              <w:rPr>
                <w:rFonts w:cs="Arial"/>
              </w:rPr>
            </w:pPr>
            <w:r w:rsidRPr="003E7E31">
              <w:rPr>
                <w:rFonts w:cs="Arial"/>
              </w:rPr>
              <w:t xml:space="preserve">Pay gaps show the difference in average earnings between different groups of people. This includes gender, ethnicity, and disability. Pay gaps are usually shown as the difference between the mean or median hourly pay of one group compared to another. </w:t>
            </w:r>
          </w:p>
          <w:p w14:paraId="60CA7A9B" w14:textId="77777777" w:rsidR="008D7F61" w:rsidRPr="004E100E" w:rsidRDefault="008D7F61" w:rsidP="00BF0A24">
            <w:pPr>
              <w:pStyle w:val="ListParagraph"/>
              <w:numPr>
                <w:ilvl w:val="1"/>
                <w:numId w:val="16"/>
              </w:numPr>
              <w:spacing w:before="360" w:after="360" w:line="276" w:lineRule="auto"/>
              <w:ind w:left="709"/>
              <w:jc w:val="both"/>
              <w:rPr>
                <w:rFonts w:cs="Arial"/>
              </w:rPr>
            </w:pPr>
            <w:r w:rsidRPr="004E100E">
              <w:rPr>
                <w:rFonts w:cs="Arial"/>
              </w:rPr>
              <w:t>The mean hourly pay gap shows the average difference in pay between one group and another, for example men and women. It is calculated by adding up everyone’s hourly pay within each group and dividing by the number of people. The gap shows how much more or less, on average, men are paid compared to women across the organisation.</w:t>
            </w:r>
          </w:p>
          <w:p w14:paraId="52CE7E0D" w14:textId="77777777" w:rsidR="008D7F61" w:rsidRPr="004E100E" w:rsidRDefault="008D7F61" w:rsidP="00BF0A24">
            <w:pPr>
              <w:pStyle w:val="ListParagraph"/>
              <w:numPr>
                <w:ilvl w:val="1"/>
                <w:numId w:val="16"/>
              </w:numPr>
              <w:spacing w:before="360" w:after="360" w:line="276" w:lineRule="auto"/>
              <w:ind w:left="709"/>
              <w:jc w:val="both"/>
              <w:rPr>
                <w:rFonts w:cs="Arial"/>
              </w:rPr>
            </w:pPr>
            <w:r w:rsidRPr="004E100E">
              <w:rPr>
                <w:rFonts w:cs="Arial"/>
              </w:rPr>
              <w:t>The median hourly pay gap compares the middle</w:t>
            </w:r>
            <w:r w:rsidRPr="004E100E">
              <w:rPr>
                <w:rFonts w:cs="Arial"/>
              </w:rPr>
              <w:noBreakHyphen/>
              <w:t>earning person in one group and the middle</w:t>
            </w:r>
            <w:r w:rsidRPr="004E100E">
              <w:rPr>
                <w:rFonts w:cs="Arial"/>
              </w:rPr>
              <w:noBreakHyphen/>
              <w:t>earning person in another group in the organisation, for example disabled and non-</w:t>
            </w:r>
            <w:r w:rsidRPr="004E100E">
              <w:rPr>
                <w:rFonts w:cs="Arial"/>
              </w:rPr>
              <w:lastRenderedPageBreak/>
              <w:t xml:space="preserve">disabled. If you lined up all staff that declare disabilities hourly pay from lowest to highest and did the same for staff that declare no disability, the median is the </w:t>
            </w:r>
            <w:r>
              <w:rPr>
                <w:rFonts w:cs="Arial"/>
              </w:rPr>
              <w:t>hourly pay rate</w:t>
            </w:r>
            <w:r w:rsidRPr="004E100E">
              <w:rPr>
                <w:rFonts w:cs="Arial"/>
              </w:rPr>
              <w:t xml:space="preserve"> in the middle of each line. The gap shows the difference between these two middle values and gives a good indication of typical pay differences between two groups.</w:t>
            </w:r>
          </w:p>
          <w:p w14:paraId="56C68838" w14:textId="77777777" w:rsidR="008D7F61" w:rsidRPr="003E7E31" w:rsidRDefault="008D7F61" w:rsidP="00BF0A24">
            <w:pPr>
              <w:pStyle w:val="ListParagraph"/>
              <w:numPr>
                <w:ilvl w:val="1"/>
                <w:numId w:val="16"/>
              </w:numPr>
              <w:spacing w:before="360" w:after="120" w:line="276" w:lineRule="auto"/>
              <w:ind w:left="709"/>
              <w:jc w:val="both"/>
              <w:rPr>
                <w:rFonts w:cs="Arial"/>
              </w:rPr>
            </w:pPr>
            <w:r w:rsidRPr="003E7E31">
              <w:rPr>
                <w:rFonts w:cs="Arial"/>
              </w:rPr>
              <w:t>Pay gap reporting helps organisations understand how different groups are represented across roles and pay levels. It also shows how well the organisation is supporting fair progression and equal access to opportunities.</w:t>
            </w:r>
          </w:p>
          <w:p w14:paraId="1964C1D6" w14:textId="77777777" w:rsidR="008D7F61" w:rsidRPr="003E7E31" w:rsidRDefault="008D7F61" w:rsidP="00BF0A24">
            <w:pPr>
              <w:pStyle w:val="Heading1"/>
              <w:numPr>
                <w:ilvl w:val="0"/>
                <w:numId w:val="12"/>
              </w:numPr>
              <w:spacing w:after="0" w:line="276" w:lineRule="auto"/>
              <w:ind w:left="709" w:hanging="709"/>
              <w:rPr>
                <w:color w:val="auto"/>
                <w:sz w:val="24"/>
                <w:szCs w:val="24"/>
              </w:rPr>
            </w:pPr>
            <w:r w:rsidRPr="003E7E31">
              <w:rPr>
                <w:color w:val="auto"/>
                <w:sz w:val="24"/>
                <w:szCs w:val="24"/>
              </w:rPr>
              <w:t>What Is the Difference Between Pay Gaps and Equal Pay</w:t>
            </w:r>
          </w:p>
          <w:p w14:paraId="496CDB06" w14:textId="77777777" w:rsidR="008D7F61" w:rsidRDefault="008D7F61" w:rsidP="00BF0A24">
            <w:pPr>
              <w:pStyle w:val="ListParagraph"/>
              <w:numPr>
                <w:ilvl w:val="1"/>
                <w:numId w:val="17"/>
              </w:numPr>
              <w:spacing w:after="200" w:line="276" w:lineRule="auto"/>
              <w:ind w:left="709"/>
              <w:jc w:val="both"/>
              <w:rPr>
                <w:rFonts w:cs="Arial"/>
              </w:rPr>
            </w:pPr>
            <w:r w:rsidRPr="003E7E31">
              <w:rPr>
                <w:rFonts w:cs="Arial"/>
              </w:rPr>
              <w:t>Pay gaps are not the same as equal pay. Equal pay is a legal requirement. It means people must be paid the same for the same work, similar work, or work of equal value. It is unlawful to pay someone differently because of their gender, ethnicity, disability, or any other protected characteristic.</w:t>
            </w:r>
          </w:p>
          <w:p w14:paraId="64B5CD56" w14:textId="44A6CBFB" w:rsidR="008D7F61" w:rsidRPr="00327A75" w:rsidRDefault="008D7F61" w:rsidP="00BF0A24">
            <w:pPr>
              <w:pStyle w:val="ListParagraph"/>
              <w:numPr>
                <w:ilvl w:val="1"/>
                <w:numId w:val="17"/>
              </w:numPr>
              <w:spacing w:before="360" w:after="120" w:line="276" w:lineRule="auto"/>
              <w:ind w:left="709"/>
              <w:jc w:val="both"/>
              <w:rPr>
                <w:rFonts w:cs="Arial"/>
              </w:rPr>
            </w:pPr>
            <w:r w:rsidRPr="003E7E31">
              <w:rPr>
                <w:rFonts w:cs="Arial"/>
              </w:rPr>
              <w:t>Pay gaps, however, look at the average pay of whole groups across the organisation. A pay gap can highlight patterns in recruitment, progression, working hours, or representation at senior levels. While a pay gap may sometimes point to unfair practices, this is not always the case. It often reflects wider structural issues that need attention and improvement.</w:t>
            </w:r>
          </w:p>
          <w:p w14:paraId="2D93534E" w14:textId="77777777" w:rsidR="008D7F61" w:rsidRPr="003E7E31" w:rsidRDefault="008D7F61" w:rsidP="00BF0A24">
            <w:pPr>
              <w:pStyle w:val="Heading1"/>
              <w:numPr>
                <w:ilvl w:val="0"/>
                <w:numId w:val="12"/>
              </w:numPr>
              <w:spacing w:after="0" w:line="276" w:lineRule="auto"/>
              <w:ind w:left="709" w:hanging="709"/>
              <w:rPr>
                <w:color w:val="auto"/>
                <w:sz w:val="24"/>
                <w:szCs w:val="24"/>
              </w:rPr>
            </w:pPr>
            <w:r w:rsidRPr="003E7E31">
              <w:rPr>
                <w:color w:val="auto"/>
                <w:sz w:val="24"/>
                <w:szCs w:val="24"/>
              </w:rPr>
              <w:t>What Pay Elements are included?</w:t>
            </w:r>
          </w:p>
          <w:p w14:paraId="07EFA2DE" w14:textId="77777777" w:rsidR="008D7F61" w:rsidRDefault="008D7F61" w:rsidP="00BF0A24">
            <w:pPr>
              <w:pStyle w:val="ListParagraph"/>
              <w:numPr>
                <w:ilvl w:val="1"/>
                <w:numId w:val="18"/>
              </w:numPr>
              <w:spacing w:after="240" w:line="276" w:lineRule="auto"/>
              <w:ind w:left="709"/>
              <w:jc w:val="both"/>
            </w:pPr>
            <w:r>
              <w:t xml:space="preserve">The statutory calculations have been carried out using the standard national Electronic Staff Record (ESR). In accordance with NHS Employers guidance, Clinical Excellence Awards and the methodology for awarding them have been classified as bonuses. Pay includes basic salary, fully paid leave (such as annual leave, sick leave, maternity, paternity, adoption, or parental leave), Bonus pay and shift pay. Most staff except medical staff and very senior managers were on the Agenda for Change pay scales. </w:t>
            </w:r>
          </w:p>
          <w:p w14:paraId="51DEE117" w14:textId="1290CEA2" w:rsidR="008D7F61" w:rsidRPr="00D51E9C" w:rsidRDefault="008D7F61" w:rsidP="00BF0A24">
            <w:pPr>
              <w:pStyle w:val="Heading1"/>
              <w:spacing w:after="120" w:line="276" w:lineRule="auto"/>
              <w:rPr>
                <w:color w:val="auto"/>
                <w:sz w:val="24"/>
                <w:szCs w:val="24"/>
                <w:u w:val="single"/>
              </w:rPr>
            </w:pPr>
            <w:r w:rsidRPr="00327A75">
              <w:rPr>
                <w:color w:val="auto"/>
                <w:sz w:val="24"/>
                <w:szCs w:val="24"/>
                <w:u w:val="single"/>
              </w:rPr>
              <w:t>Gloucestershire Hospitals Gender Pay Gap 2025</w:t>
            </w:r>
          </w:p>
          <w:p w14:paraId="6E6E02C0" w14:textId="77777777" w:rsidR="008D7F61" w:rsidRDefault="008D7F61" w:rsidP="00BF0A24">
            <w:pPr>
              <w:pStyle w:val="Heading1"/>
              <w:numPr>
                <w:ilvl w:val="0"/>
                <w:numId w:val="12"/>
              </w:numPr>
              <w:spacing w:after="0" w:line="276" w:lineRule="auto"/>
              <w:ind w:left="709" w:hanging="709"/>
              <w:rPr>
                <w:color w:val="auto"/>
                <w:sz w:val="24"/>
                <w:szCs w:val="24"/>
              </w:rPr>
            </w:pPr>
            <w:r w:rsidRPr="00327A75">
              <w:rPr>
                <w:color w:val="auto"/>
                <w:sz w:val="24"/>
                <w:szCs w:val="24"/>
              </w:rPr>
              <w:t>Key findings from March 2025 are as follows:</w:t>
            </w:r>
          </w:p>
          <w:p w14:paraId="2B368B0D" w14:textId="77777777" w:rsidR="00DF1E31" w:rsidRPr="00DF1E31" w:rsidRDefault="00DF1E31" w:rsidP="00BF0A24">
            <w:pPr>
              <w:pStyle w:val="ListParagraph"/>
              <w:numPr>
                <w:ilvl w:val="0"/>
                <w:numId w:val="18"/>
              </w:numPr>
              <w:spacing w:after="360" w:line="276" w:lineRule="auto"/>
              <w:jc w:val="both"/>
              <w:rPr>
                <w:vanish/>
              </w:rPr>
            </w:pPr>
          </w:p>
          <w:p w14:paraId="0D6C5FF6" w14:textId="4D96BF52" w:rsidR="008D7F61" w:rsidRPr="00DF1E31" w:rsidRDefault="008D7F61" w:rsidP="00BF0A24">
            <w:pPr>
              <w:pStyle w:val="ListParagraph"/>
              <w:numPr>
                <w:ilvl w:val="1"/>
                <w:numId w:val="31"/>
              </w:numPr>
              <w:spacing w:after="360" w:line="276" w:lineRule="auto"/>
              <w:jc w:val="both"/>
            </w:pPr>
            <w:r w:rsidRPr="00DF1E31">
              <w:t xml:space="preserve">The Mean Gender Pay Gap is 26.5% (£7.79) in favour of men, reflecting a 3.2% increase from 23.3% in 2024. </w:t>
            </w:r>
          </w:p>
          <w:p w14:paraId="07CF5303" w14:textId="77777777" w:rsidR="00DF1E31" w:rsidRPr="00DF1E31" w:rsidRDefault="008D7F61" w:rsidP="00BF0A24">
            <w:pPr>
              <w:pStyle w:val="ListParagraph"/>
              <w:numPr>
                <w:ilvl w:val="1"/>
                <w:numId w:val="31"/>
              </w:numPr>
              <w:spacing w:after="360" w:line="276" w:lineRule="auto"/>
              <w:jc w:val="both"/>
            </w:pPr>
            <w:r w:rsidRPr="00DF1E31">
              <w:t xml:space="preserve">The Median Gender Pay Gap is 17.8% (£4.20) in favour of men, reflecting a 0.6% increase from 17.2% in 2024. </w:t>
            </w:r>
          </w:p>
          <w:p w14:paraId="618609ED" w14:textId="61474FDA" w:rsidR="00DF1E31" w:rsidRPr="003E7E31" w:rsidRDefault="00DF1E31" w:rsidP="00BF0A24">
            <w:pPr>
              <w:pStyle w:val="ListParagraph"/>
              <w:numPr>
                <w:ilvl w:val="1"/>
                <w:numId w:val="31"/>
              </w:numPr>
              <w:spacing w:after="360" w:line="276" w:lineRule="auto"/>
              <w:jc w:val="both"/>
            </w:pPr>
            <w:r w:rsidRPr="003E7E31">
              <w:t>Excluding Medical and Dental staff, and Clinical Excellence Awards (CEAs), the pay gap shifts significantly.</w:t>
            </w:r>
          </w:p>
          <w:p w14:paraId="6E37AAF4" w14:textId="77777777" w:rsidR="00DF1E31" w:rsidRPr="00DF1E31" w:rsidRDefault="00DF1E31" w:rsidP="00BF0A24">
            <w:pPr>
              <w:pStyle w:val="ListParagraph"/>
              <w:numPr>
                <w:ilvl w:val="1"/>
                <w:numId w:val="32"/>
              </w:numPr>
              <w:spacing w:after="360" w:line="276" w:lineRule="auto"/>
              <w:jc w:val="both"/>
            </w:pPr>
            <w:r w:rsidRPr="00DF1E31">
              <w:t>The Mean Gender Pay Gap reduces to 3.6% (£0.71) in favour of men.</w:t>
            </w:r>
          </w:p>
          <w:p w14:paraId="1B334CC5" w14:textId="3AB99634" w:rsidR="00327A75" w:rsidRPr="00DF1E31" w:rsidRDefault="00DF1E31" w:rsidP="00BF0A24">
            <w:pPr>
              <w:pStyle w:val="ListParagraph"/>
              <w:numPr>
                <w:ilvl w:val="1"/>
                <w:numId w:val="32"/>
              </w:numPr>
              <w:spacing w:after="360" w:line="276" w:lineRule="auto"/>
              <w:jc w:val="both"/>
              <w:rPr>
                <w:rFonts w:cs="Arial"/>
              </w:rPr>
            </w:pPr>
            <w:r w:rsidRPr="00DF1E31">
              <w:t>The Median</w:t>
            </w:r>
            <w:r w:rsidRPr="003E7E31">
              <w:rPr>
                <w:rFonts w:cs="Arial"/>
              </w:rPr>
              <w:t xml:space="preserve"> Gender Pay Gap reduces to 5.0% (£0.88) in favour of women.</w:t>
            </w:r>
          </w:p>
          <w:tbl>
            <w:tblPr>
              <w:tblpPr w:leftFromText="180" w:rightFromText="180" w:vertAnchor="text" w:horzAnchor="margin" w:tblpXSpec="center" w:tblpY="-20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91"/>
              <w:gridCol w:w="1928"/>
              <w:gridCol w:w="2277"/>
              <w:gridCol w:w="2275"/>
              <w:gridCol w:w="2277"/>
            </w:tblGrid>
            <w:tr w:rsidR="00327A75" w:rsidRPr="0026010C" w14:paraId="3E1CFCB4" w14:textId="77777777" w:rsidTr="00A54ABD">
              <w:trPr>
                <w:trHeight w:val="286"/>
              </w:trPr>
              <w:tc>
                <w:tcPr>
                  <w:tcW w:w="685" w:type="pct"/>
                  <w:shd w:val="clear" w:color="auto" w:fill="0070C0"/>
                  <w:vAlign w:val="center"/>
                  <w:hideMark/>
                </w:tcPr>
                <w:p w14:paraId="3E706C1D" w14:textId="77777777" w:rsidR="00327A75" w:rsidRPr="00327A75" w:rsidRDefault="00327A75" w:rsidP="00327A75">
                  <w:pPr>
                    <w:spacing w:after="0" w:line="240" w:lineRule="auto"/>
                    <w:rPr>
                      <w:rFonts w:ascii="Calibri" w:eastAsia="Times New Roman" w:hAnsi="Calibri" w:cs="Calibri"/>
                      <w:b/>
                      <w:bCs/>
                      <w:color w:val="FFFFFF"/>
                    </w:rPr>
                  </w:pPr>
                  <w:r w:rsidRPr="00327A75">
                    <w:rPr>
                      <w:rFonts w:eastAsia="Times New Roman" w:cs="Arial"/>
                      <w:b/>
                      <w:bCs/>
                      <w:color w:val="FFFFFF"/>
                    </w:rPr>
                    <w:t>Gender Grouping Summary</w:t>
                  </w:r>
                </w:p>
                <w:p w14:paraId="79F0738B" w14:textId="77777777" w:rsidR="00327A75" w:rsidRPr="00327A75" w:rsidRDefault="00327A75" w:rsidP="00327A75">
                  <w:pPr>
                    <w:spacing w:after="0" w:line="240" w:lineRule="auto"/>
                    <w:rPr>
                      <w:rFonts w:ascii="Calibri" w:eastAsia="Times New Roman" w:hAnsi="Calibri" w:cs="Calibri"/>
                      <w:b/>
                      <w:bCs/>
                      <w:color w:val="FFFFFF"/>
                    </w:rPr>
                  </w:pPr>
                </w:p>
              </w:tc>
              <w:tc>
                <w:tcPr>
                  <w:tcW w:w="950" w:type="pct"/>
                  <w:shd w:val="clear" w:color="auto" w:fill="0070C0"/>
                  <w:vAlign w:val="center"/>
                  <w:hideMark/>
                </w:tcPr>
                <w:p w14:paraId="188D81A0" w14:textId="77777777" w:rsidR="00327A75" w:rsidRPr="00327A75" w:rsidRDefault="00327A75" w:rsidP="00327A75">
                  <w:pPr>
                    <w:spacing w:after="0" w:line="240" w:lineRule="auto"/>
                    <w:rPr>
                      <w:rFonts w:eastAsia="Times New Roman" w:cs="Arial"/>
                      <w:b/>
                      <w:bCs/>
                      <w:color w:val="FFFFFF"/>
                    </w:rPr>
                  </w:pPr>
                  <w:r w:rsidRPr="00327A75">
                    <w:rPr>
                      <w:rFonts w:eastAsia="Times New Roman" w:cs="Arial"/>
                      <w:b/>
                      <w:bCs/>
                      <w:color w:val="FFFFFF"/>
                    </w:rPr>
                    <w:t>Mean Hourly Rate 2025</w:t>
                  </w:r>
                </w:p>
              </w:tc>
              <w:tc>
                <w:tcPr>
                  <w:tcW w:w="1122" w:type="pct"/>
                  <w:shd w:val="clear" w:color="auto" w:fill="0070C0"/>
                  <w:vAlign w:val="center"/>
                </w:tcPr>
                <w:p w14:paraId="07B2A0C9" w14:textId="77777777" w:rsidR="00327A75" w:rsidRPr="00327A75" w:rsidRDefault="00327A75" w:rsidP="00327A75">
                  <w:pPr>
                    <w:spacing w:after="0" w:line="240" w:lineRule="auto"/>
                    <w:rPr>
                      <w:rFonts w:eastAsia="Times New Roman" w:cs="Arial"/>
                      <w:b/>
                      <w:bCs/>
                      <w:color w:val="FFFFFF"/>
                    </w:rPr>
                  </w:pPr>
                  <w:r w:rsidRPr="00327A75">
                    <w:rPr>
                      <w:rFonts w:eastAsia="Times New Roman" w:cs="Arial"/>
                      <w:b/>
                      <w:bCs/>
                      <w:color w:val="FFFFFF"/>
                    </w:rPr>
                    <w:t>Change since 2024</w:t>
                  </w:r>
                </w:p>
              </w:tc>
              <w:tc>
                <w:tcPr>
                  <w:tcW w:w="1121" w:type="pct"/>
                  <w:shd w:val="clear" w:color="auto" w:fill="0070C0"/>
                  <w:vAlign w:val="center"/>
                  <w:hideMark/>
                </w:tcPr>
                <w:p w14:paraId="6ACEE156" w14:textId="77777777" w:rsidR="00327A75" w:rsidRPr="00327A75" w:rsidRDefault="00327A75" w:rsidP="00327A75">
                  <w:pPr>
                    <w:spacing w:after="0" w:line="240" w:lineRule="auto"/>
                    <w:rPr>
                      <w:rFonts w:eastAsia="Times New Roman" w:cs="Arial"/>
                      <w:b/>
                      <w:bCs/>
                      <w:color w:val="FFFFFF"/>
                    </w:rPr>
                  </w:pPr>
                  <w:r w:rsidRPr="00327A75">
                    <w:rPr>
                      <w:rFonts w:eastAsia="Times New Roman" w:cs="Arial"/>
                      <w:b/>
                      <w:bCs/>
                      <w:color w:val="FFFFFF"/>
                    </w:rPr>
                    <w:t>Median Hourly Rate 2025</w:t>
                  </w:r>
                </w:p>
              </w:tc>
              <w:tc>
                <w:tcPr>
                  <w:tcW w:w="1122" w:type="pct"/>
                  <w:shd w:val="clear" w:color="auto" w:fill="0070C0"/>
                  <w:vAlign w:val="center"/>
                </w:tcPr>
                <w:p w14:paraId="1DA7816D" w14:textId="77777777" w:rsidR="00327A75" w:rsidRPr="00327A75" w:rsidRDefault="00327A75" w:rsidP="00327A75">
                  <w:pPr>
                    <w:spacing w:after="0" w:line="240" w:lineRule="auto"/>
                    <w:rPr>
                      <w:rFonts w:eastAsia="Times New Roman" w:cs="Arial"/>
                      <w:b/>
                      <w:bCs/>
                      <w:color w:val="FFFFFF"/>
                    </w:rPr>
                  </w:pPr>
                  <w:r w:rsidRPr="00327A75">
                    <w:rPr>
                      <w:rFonts w:eastAsia="Times New Roman" w:cs="Arial"/>
                      <w:b/>
                      <w:bCs/>
                      <w:color w:val="FFFFFF"/>
                    </w:rPr>
                    <w:t>Change since 2024</w:t>
                  </w:r>
                </w:p>
              </w:tc>
            </w:tr>
            <w:tr w:rsidR="00327A75" w14:paraId="193AEEF4" w14:textId="77777777" w:rsidTr="00A54ABD">
              <w:trPr>
                <w:trHeight w:val="286"/>
              </w:trPr>
              <w:tc>
                <w:tcPr>
                  <w:tcW w:w="685" w:type="pct"/>
                  <w:vAlign w:val="center"/>
                  <w:hideMark/>
                </w:tcPr>
                <w:p w14:paraId="79175184" w14:textId="77777777" w:rsidR="00327A75" w:rsidRPr="00D51E9C" w:rsidRDefault="00327A75" w:rsidP="00327A75">
                  <w:pPr>
                    <w:spacing w:after="0" w:line="240" w:lineRule="auto"/>
                    <w:rPr>
                      <w:rFonts w:cs="Arial"/>
                    </w:rPr>
                  </w:pPr>
                  <w:r w:rsidRPr="00D51E9C">
                    <w:rPr>
                      <w:rFonts w:cs="Arial"/>
                    </w:rPr>
                    <w:t>Women</w:t>
                  </w:r>
                </w:p>
              </w:tc>
              <w:tc>
                <w:tcPr>
                  <w:tcW w:w="950" w:type="pct"/>
                  <w:shd w:val="clear" w:color="000000" w:fill="FFFFFF"/>
                  <w:vAlign w:val="center"/>
                </w:tcPr>
                <w:p w14:paraId="0E9F23C7" w14:textId="77777777" w:rsidR="00327A75" w:rsidRPr="00DB35F6" w:rsidRDefault="00327A75" w:rsidP="00327A75">
                  <w:pPr>
                    <w:spacing w:after="0" w:line="240" w:lineRule="auto"/>
                    <w:rPr>
                      <w:rFonts w:eastAsia="Times New Roman" w:cs="Arial"/>
                      <w:color w:val="000000"/>
                    </w:rPr>
                  </w:pPr>
                  <w:r>
                    <w:rPr>
                      <w:rFonts w:eastAsia="Times New Roman" w:cs="Arial"/>
                      <w:color w:val="000000"/>
                    </w:rPr>
                    <w:t>£21.58</w:t>
                  </w:r>
                </w:p>
              </w:tc>
              <w:tc>
                <w:tcPr>
                  <w:tcW w:w="1122" w:type="pct"/>
                  <w:shd w:val="clear" w:color="000000" w:fill="FFFFFF"/>
                  <w:vAlign w:val="center"/>
                </w:tcPr>
                <w:p w14:paraId="0A2C2F49" w14:textId="77777777" w:rsidR="00327A75" w:rsidRDefault="00327A75" w:rsidP="00327A75">
                  <w:pPr>
                    <w:spacing w:after="0" w:line="240" w:lineRule="auto"/>
                    <w:rPr>
                      <w:rFonts w:eastAsia="Times New Roman" w:cs="Arial"/>
                      <w:color w:val="000000"/>
                    </w:rPr>
                  </w:pPr>
                  <w:r>
                    <w:rPr>
                      <w:rFonts w:eastAsia="Times New Roman" w:cs="Arial"/>
                      <w:color w:val="000000"/>
                    </w:rPr>
                    <w:t>Increase of £1.64 since 2024</w:t>
                  </w:r>
                </w:p>
              </w:tc>
              <w:tc>
                <w:tcPr>
                  <w:tcW w:w="1121" w:type="pct"/>
                  <w:shd w:val="clear" w:color="000000" w:fill="FFFFFF"/>
                  <w:vAlign w:val="center"/>
                </w:tcPr>
                <w:p w14:paraId="5C1EBA84" w14:textId="77777777" w:rsidR="00327A75" w:rsidRPr="00DB35F6" w:rsidRDefault="00327A75" w:rsidP="00327A75">
                  <w:pPr>
                    <w:spacing w:after="0" w:line="240" w:lineRule="auto"/>
                    <w:rPr>
                      <w:rFonts w:eastAsia="Times New Roman" w:cs="Arial"/>
                      <w:color w:val="000000"/>
                    </w:rPr>
                  </w:pPr>
                  <w:r>
                    <w:rPr>
                      <w:rFonts w:eastAsia="Times New Roman" w:cs="Arial"/>
                      <w:color w:val="000000"/>
                    </w:rPr>
                    <w:t>£19.40</w:t>
                  </w:r>
                </w:p>
              </w:tc>
              <w:tc>
                <w:tcPr>
                  <w:tcW w:w="1122" w:type="pct"/>
                  <w:shd w:val="clear" w:color="000000" w:fill="FFFFFF"/>
                  <w:vAlign w:val="center"/>
                </w:tcPr>
                <w:p w14:paraId="21E6403B" w14:textId="77777777" w:rsidR="00327A75" w:rsidRDefault="00327A75" w:rsidP="00327A75">
                  <w:pPr>
                    <w:spacing w:after="0" w:line="240" w:lineRule="auto"/>
                    <w:rPr>
                      <w:rFonts w:eastAsia="Times New Roman" w:cs="Arial"/>
                      <w:color w:val="000000"/>
                    </w:rPr>
                  </w:pPr>
                  <w:r>
                    <w:rPr>
                      <w:rFonts w:eastAsia="Times New Roman" w:cs="Arial"/>
                      <w:color w:val="000000"/>
                    </w:rPr>
                    <w:t>Increase of £1.36 since 2024</w:t>
                  </w:r>
                </w:p>
              </w:tc>
            </w:tr>
            <w:tr w:rsidR="00D51E9C" w14:paraId="4078335E" w14:textId="77777777" w:rsidTr="00A54ABD">
              <w:trPr>
                <w:trHeight w:val="286"/>
              </w:trPr>
              <w:tc>
                <w:tcPr>
                  <w:tcW w:w="685" w:type="pct"/>
                  <w:vAlign w:val="center"/>
                  <w:hideMark/>
                </w:tcPr>
                <w:p w14:paraId="04EDC01D" w14:textId="1A8B66D8" w:rsidR="00D51E9C" w:rsidRPr="00D51E9C" w:rsidRDefault="00D51E9C" w:rsidP="00D51E9C">
                  <w:pPr>
                    <w:spacing w:after="0" w:line="240" w:lineRule="auto"/>
                    <w:rPr>
                      <w:rFonts w:cs="Arial"/>
                    </w:rPr>
                  </w:pPr>
                  <w:r w:rsidRPr="00D51E9C">
                    <w:rPr>
                      <w:rFonts w:cs="Arial"/>
                    </w:rPr>
                    <w:t>Men</w:t>
                  </w:r>
                </w:p>
              </w:tc>
              <w:tc>
                <w:tcPr>
                  <w:tcW w:w="950" w:type="pct"/>
                  <w:shd w:val="clear" w:color="000000" w:fill="FFFFFF"/>
                  <w:vAlign w:val="center"/>
                </w:tcPr>
                <w:p w14:paraId="2FEFD83A" w14:textId="77777777" w:rsidR="00D51E9C" w:rsidRPr="008E32B4" w:rsidRDefault="00D51E9C" w:rsidP="00D51E9C">
                  <w:pPr>
                    <w:spacing w:after="0" w:line="240" w:lineRule="auto"/>
                    <w:rPr>
                      <w:rFonts w:eastAsia="Times New Roman" w:cs="Arial"/>
                      <w:color w:val="000000"/>
                    </w:rPr>
                  </w:pPr>
                  <w:r>
                    <w:rPr>
                      <w:rFonts w:eastAsia="Times New Roman" w:cs="Arial"/>
                      <w:color w:val="000000"/>
                    </w:rPr>
                    <w:t>£29.38</w:t>
                  </w:r>
                </w:p>
              </w:tc>
              <w:tc>
                <w:tcPr>
                  <w:tcW w:w="1122" w:type="pct"/>
                  <w:shd w:val="clear" w:color="000000" w:fill="FFFFFF"/>
                  <w:vAlign w:val="center"/>
                </w:tcPr>
                <w:p w14:paraId="1F46EBAF" w14:textId="77777777" w:rsidR="00D51E9C" w:rsidRDefault="00D51E9C" w:rsidP="00D51E9C">
                  <w:pPr>
                    <w:spacing w:after="0" w:line="240" w:lineRule="auto"/>
                    <w:rPr>
                      <w:rFonts w:eastAsia="Times New Roman" w:cs="Arial"/>
                      <w:color w:val="000000"/>
                    </w:rPr>
                  </w:pPr>
                  <w:r>
                    <w:rPr>
                      <w:rFonts w:eastAsia="Times New Roman" w:cs="Arial"/>
                      <w:color w:val="000000"/>
                    </w:rPr>
                    <w:t>Increase of £3.39 since 2024</w:t>
                  </w:r>
                </w:p>
              </w:tc>
              <w:tc>
                <w:tcPr>
                  <w:tcW w:w="1121" w:type="pct"/>
                  <w:shd w:val="clear" w:color="000000" w:fill="FFFFFF"/>
                  <w:vAlign w:val="center"/>
                </w:tcPr>
                <w:p w14:paraId="7ECC5E67" w14:textId="77777777" w:rsidR="00D51E9C" w:rsidRPr="008E32B4" w:rsidRDefault="00D51E9C" w:rsidP="00D51E9C">
                  <w:pPr>
                    <w:spacing w:after="0" w:line="240" w:lineRule="auto"/>
                    <w:rPr>
                      <w:rFonts w:eastAsia="Times New Roman" w:cs="Arial"/>
                      <w:color w:val="000000"/>
                    </w:rPr>
                  </w:pPr>
                  <w:r>
                    <w:rPr>
                      <w:rFonts w:eastAsia="Times New Roman" w:cs="Arial"/>
                      <w:color w:val="000000"/>
                    </w:rPr>
                    <w:t>£23.60</w:t>
                  </w:r>
                </w:p>
              </w:tc>
              <w:tc>
                <w:tcPr>
                  <w:tcW w:w="1122" w:type="pct"/>
                  <w:shd w:val="clear" w:color="000000" w:fill="FFFFFF"/>
                  <w:vAlign w:val="center"/>
                </w:tcPr>
                <w:p w14:paraId="014EA0B7" w14:textId="77777777" w:rsidR="00D51E9C" w:rsidRDefault="00D51E9C" w:rsidP="00D51E9C">
                  <w:pPr>
                    <w:spacing w:after="0" w:line="240" w:lineRule="auto"/>
                    <w:rPr>
                      <w:rFonts w:eastAsia="Times New Roman" w:cs="Arial"/>
                      <w:color w:val="000000"/>
                    </w:rPr>
                  </w:pPr>
                  <w:r>
                    <w:rPr>
                      <w:rFonts w:eastAsia="Times New Roman" w:cs="Arial"/>
                      <w:color w:val="000000"/>
                    </w:rPr>
                    <w:t>Increase of £1.81 since 2024</w:t>
                  </w:r>
                </w:p>
              </w:tc>
            </w:tr>
          </w:tbl>
          <w:p w14:paraId="6F5C4426" w14:textId="77777777" w:rsidR="008D7F61" w:rsidRDefault="008D7F61" w:rsidP="008D7F61">
            <w:pPr>
              <w:pStyle w:val="ListParagraph"/>
              <w:spacing w:after="200"/>
              <w:ind w:left="1440"/>
              <w:jc w:val="both"/>
              <w:rPr>
                <w:rFonts w:cs="Arial"/>
              </w:rPr>
            </w:pPr>
          </w:p>
          <w:p w14:paraId="41AF572C" w14:textId="77777777" w:rsidR="008D7F61" w:rsidRPr="00DF1E31" w:rsidRDefault="008D7F61" w:rsidP="00BF0A24">
            <w:pPr>
              <w:pStyle w:val="ListParagraph"/>
              <w:numPr>
                <w:ilvl w:val="1"/>
                <w:numId w:val="18"/>
              </w:numPr>
              <w:spacing w:after="360" w:line="276" w:lineRule="auto"/>
              <w:ind w:left="709"/>
              <w:jc w:val="both"/>
            </w:pPr>
            <w:r w:rsidRPr="00DF1E31">
              <w:t xml:space="preserve">This highlights the impact of bonus payments within the Medical and Dental workforce, where high-value Clinical Excellence Awards (CEAs) continue to be a major factor. </w:t>
            </w:r>
          </w:p>
          <w:p w14:paraId="7EB00614" w14:textId="77777777" w:rsidR="008D7F61" w:rsidRPr="00DF1E31" w:rsidRDefault="008D7F61" w:rsidP="00BF0A24">
            <w:pPr>
              <w:pStyle w:val="ListParagraph"/>
              <w:numPr>
                <w:ilvl w:val="1"/>
                <w:numId w:val="18"/>
              </w:numPr>
              <w:spacing w:after="360" w:line="276" w:lineRule="auto"/>
              <w:ind w:left="709"/>
              <w:jc w:val="both"/>
            </w:pPr>
            <w:r w:rsidRPr="00DF1E31">
              <w:lastRenderedPageBreak/>
              <w:t xml:space="preserve">Local CEAs were discontinued in 2020, and the associated budget was equally shared across substantive consultants, regardless of their working hours. Only a small number – fewer than 10 – now receive national CEAs, but their value continues to influence the overall pay gap. </w:t>
            </w:r>
          </w:p>
          <w:p w14:paraId="41E617F7" w14:textId="77777777" w:rsidR="008D7F61" w:rsidRPr="00DF1E31" w:rsidRDefault="008D7F61" w:rsidP="00BF0A24">
            <w:pPr>
              <w:pStyle w:val="ListParagraph"/>
              <w:numPr>
                <w:ilvl w:val="1"/>
                <w:numId w:val="18"/>
              </w:numPr>
              <w:spacing w:line="276" w:lineRule="auto"/>
              <w:ind w:left="709"/>
              <w:jc w:val="both"/>
            </w:pPr>
            <w:r w:rsidRPr="00DF1E31">
              <w:t xml:space="preserve">Nationally, the Gender Pay Gap has been decreasing over the past decade and stood at 6.9% in April 2025. </w:t>
            </w:r>
          </w:p>
          <w:p w14:paraId="33322B62" w14:textId="77777777" w:rsidR="008D7F61" w:rsidRPr="003E7E31" w:rsidRDefault="008D7F61" w:rsidP="00BF0A24">
            <w:pPr>
              <w:pStyle w:val="Heading1"/>
              <w:numPr>
                <w:ilvl w:val="0"/>
                <w:numId w:val="12"/>
              </w:numPr>
              <w:spacing w:before="120" w:after="0" w:line="276" w:lineRule="auto"/>
              <w:ind w:left="709" w:hanging="709"/>
              <w:rPr>
                <w:color w:val="auto"/>
                <w:sz w:val="24"/>
                <w:szCs w:val="24"/>
              </w:rPr>
            </w:pPr>
            <w:r w:rsidRPr="003E7E31">
              <w:rPr>
                <w:color w:val="auto"/>
                <w:sz w:val="24"/>
                <w:szCs w:val="24"/>
              </w:rPr>
              <w:t>Trust’s Gender Pay Gap summary:</w:t>
            </w:r>
          </w:p>
          <w:p w14:paraId="26B72179" w14:textId="2928DA28" w:rsidR="008D7F61" w:rsidRPr="00D51E9C" w:rsidRDefault="008D7F61" w:rsidP="00BF0A24">
            <w:pPr>
              <w:pStyle w:val="ListParagraph"/>
              <w:numPr>
                <w:ilvl w:val="1"/>
                <w:numId w:val="33"/>
              </w:numPr>
              <w:spacing w:line="276" w:lineRule="auto"/>
              <w:jc w:val="both"/>
            </w:pPr>
            <w:r>
              <w:rPr>
                <w:rFonts w:cs="Arial"/>
              </w:rPr>
              <w:t xml:space="preserve">The </w:t>
            </w:r>
            <w:r w:rsidRPr="00D51E9C">
              <w:t>Trust’s Mean Gender Pay Gap is 26.5%</w:t>
            </w:r>
            <w:r w:rsidR="00DF1E31" w:rsidRPr="00D51E9C">
              <w:t>.</w:t>
            </w:r>
          </w:p>
          <w:p w14:paraId="5A8BF4C0" w14:textId="1F45F77E" w:rsidR="008D7F61" w:rsidRPr="00D51E9C" w:rsidRDefault="008D7F61" w:rsidP="00BF0A24">
            <w:pPr>
              <w:pStyle w:val="ListParagraph"/>
              <w:numPr>
                <w:ilvl w:val="1"/>
                <w:numId w:val="33"/>
              </w:numPr>
              <w:spacing w:line="276" w:lineRule="auto"/>
              <w:jc w:val="both"/>
            </w:pPr>
            <w:r w:rsidRPr="00D51E9C">
              <w:t>The Trust’s Median Gender Pay Gap is 17.8%</w:t>
            </w:r>
            <w:r w:rsidR="00DF1E31" w:rsidRPr="00D51E9C">
              <w:t>.</w:t>
            </w:r>
          </w:p>
          <w:p w14:paraId="463942C4" w14:textId="5A3450C6" w:rsidR="008D7F61" w:rsidRPr="00D51E9C" w:rsidRDefault="008D7F61" w:rsidP="00BF0A24">
            <w:pPr>
              <w:pStyle w:val="ListParagraph"/>
              <w:numPr>
                <w:ilvl w:val="1"/>
                <w:numId w:val="33"/>
              </w:numPr>
              <w:spacing w:line="276" w:lineRule="auto"/>
              <w:jc w:val="both"/>
            </w:pPr>
            <w:r w:rsidRPr="00D51E9C">
              <w:t>The Trust’s Mean Bonus Gender Pay Gap is 43.5%</w:t>
            </w:r>
            <w:r w:rsidR="00DF1E31" w:rsidRPr="00D51E9C">
              <w:t>.</w:t>
            </w:r>
          </w:p>
          <w:p w14:paraId="1DC32AF4" w14:textId="240B9805" w:rsidR="008D7F61" w:rsidRPr="00D51E9C" w:rsidRDefault="008D7F61" w:rsidP="00BF0A24">
            <w:pPr>
              <w:pStyle w:val="ListParagraph"/>
              <w:numPr>
                <w:ilvl w:val="1"/>
                <w:numId w:val="33"/>
              </w:numPr>
              <w:spacing w:line="276" w:lineRule="auto"/>
              <w:jc w:val="both"/>
            </w:pPr>
            <w:r w:rsidRPr="00D51E9C">
              <w:t>The Trust’s Median Bonus Gender Pay Gap is 66.7%</w:t>
            </w:r>
            <w:r w:rsidR="00DF1E31" w:rsidRPr="00D51E9C">
              <w:t>.</w:t>
            </w:r>
          </w:p>
          <w:p w14:paraId="63538CA2" w14:textId="6BD3B45B" w:rsidR="008D7F61" w:rsidRPr="00D51E9C" w:rsidRDefault="008D7F61" w:rsidP="00BF0A24">
            <w:pPr>
              <w:pStyle w:val="ListParagraph"/>
              <w:numPr>
                <w:ilvl w:val="1"/>
                <w:numId w:val="33"/>
              </w:numPr>
              <w:spacing w:after="120" w:line="276" w:lineRule="auto"/>
              <w:ind w:left="714" w:hanging="357"/>
              <w:contextualSpacing w:val="0"/>
              <w:jc w:val="both"/>
            </w:pPr>
            <w:r w:rsidRPr="00D51E9C">
              <w:t>The proportion of men receiving a Bonus payment is 67%</w:t>
            </w:r>
            <w:r w:rsidR="00DF1E31" w:rsidRPr="00D51E9C">
              <w:t>.</w:t>
            </w:r>
          </w:p>
          <w:p w14:paraId="03C7C487" w14:textId="77777777" w:rsidR="00D51E9C" w:rsidRPr="00D51E9C" w:rsidRDefault="00D51E9C" w:rsidP="00BF0A24">
            <w:pPr>
              <w:pStyle w:val="ListParagraph"/>
              <w:numPr>
                <w:ilvl w:val="0"/>
                <w:numId w:val="18"/>
              </w:numPr>
              <w:spacing w:line="276" w:lineRule="auto"/>
              <w:jc w:val="both"/>
              <w:rPr>
                <w:vanish/>
              </w:rPr>
            </w:pPr>
          </w:p>
          <w:p w14:paraId="17471352" w14:textId="5351CA39" w:rsidR="008D7F61" w:rsidRPr="00D51E9C" w:rsidRDefault="008D7F61" w:rsidP="00BF0A24">
            <w:pPr>
              <w:pStyle w:val="ListParagraph"/>
              <w:numPr>
                <w:ilvl w:val="1"/>
                <w:numId w:val="18"/>
              </w:numPr>
              <w:spacing w:line="276" w:lineRule="auto"/>
              <w:ind w:left="709"/>
              <w:jc w:val="both"/>
            </w:pPr>
            <w:r w:rsidRPr="00D51E9C">
              <w:t>The proportion of women receiving a Bonus payment is 33%</w:t>
            </w:r>
            <w:r w:rsidR="00DF1E31" w:rsidRPr="00D51E9C">
              <w:t>.</w:t>
            </w:r>
          </w:p>
          <w:p w14:paraId="1CBCFCEB" w14:textId="77777777" w:rsidR="008D7F61" w:rsidRPr="00D51E9C" w:rsidRDefault="008D7F61" w:rsidP="00BF0A24">
            <w:pPr>
              <w:pStyle w:val="ListParagraph"/>
              <w:numPr>
                <w:ilvl w:val="1"/>
                <w:numId w:val="18"/>
              </w:numPr>
              <w:spacing w:line="276" w:lineRule="auto"/>
              <w:ind w:left="709"/>
              <w:jc w:val="both"/>
            </w:pPr>
            <w:r w:rsidRPr="00D51E9C">
              <w:t xml:space="preserve">The </w:t>
            </w:r>
            <w:r w:rsidRPr="00DF1E31">
              <w:t>proportion of men and women for all staff in each Quartile (Quartile 1 represents our lowest paid staff and Quartile</w:t>
            </w:r>
            <w:r w:rsidRPr="00D51E9C">
              <w:t xml:space="preserve"> 4 represents our highest paid staff):</w:t>
            </w:r>
          </w:p>
          <w:p w14:paraId="193F8BD4" w14:textId="77777777" w:rsidR="008D7F61" w:rsidRPr="00D51E9C" w:rsidRDefault="008D7F61" w:rsidP="00BF0A24">
            <w:pPr>
              <w:pStyle w:val="ListParagraph"/>
              <w:numPr>
                <w:ilvl w:val="1"/>
                <w:numId w:val="34"/>
              </w:numPr>
              <w:spacing w:line="276" w:lineRule="auto"/>
              <w:jc w:val="both"/>
            </w:pPr>
            <w:r w:rsidRPr="00D51E9C">
              <w:t>Quartile 1: 82.8% (1924 headcount) women and 17.2% (399 headcount) men</w:t>
            </w:r>
          </w:p>
          <w:p w14:paraId="35E4104B" w14:textId="77777777" w:rsidR="008D7F61" w:rsidRPr="00D51E9C" w:rsidRDefault="008D7F61" w:rsidP="00BF0A24">
            <w:pPr>
              <w:pStyle w:val="ListParagraph"/>
              <w:numPr>
                <w:ilvl w:val="1"/>
                <w:numId w:val="34"/>
              </w:numPr>
              <w:spacing w:line="276" w:lineRule="auto"/>
              <w:jc w:val="both"/>
            </w:pPr>
            <w:r w:rsidRPr="00D51E9C">
              <w:t>Quartile 2: 82.5% (1952 headcount) women and 17.5% (414 headcount) men</w:t>
            </w:r>
          </w:p>
          <w:p w14:paraId="0951E3A4" w14:textId="77777777" w:rsidR="008D7F61" w:rsidRPr="00D51E9C" w:rsidRDefault="008D7F61" w:rsidP="00BF0A24">
            <w:pPr>
              <w:pStyle w:val="ListParagraph"/>
              <w:numPr>
                <w:ilvl w:val="1"/>
                <w:numId w:val="34"/>
              </w:numPr>
              <w:spacing w:line="276" w:lineRule="auto"/>
              <w:jc w:val="both"/>
            </w:pPr>
            <w:r w:rsidRPr="00D51E9C">
              <w:t>Quartile 3: 82.2% (1946 headcount) women and 15.8% (364 headcount) men</w:t>
            </w:r>
          </w:p>
          <w:p w14:paraId="2596CE9D" w14:textId="77777777" w:rsidR="008D7F61" w:rsidRDefault="008D7F61" w:rsidP="00BF0A24">
            <w:pPr>
              <w:pStyle w:val="ListParagraph"/>
              <w:numPr>
                <w:ilvl w:val="1"/>
                <w:numId w:val="34"/>
              </w:numPr>
              <w:spacing w:line="276" w:lineRule="auto"/>
              <w:jc w:val="both"/>
              <w:rPr>
                <w:rFonts w:cs="Arial"/>
              </w:rPr>
            </w:pPr>
            <w:r w:rsidRPr="00D51E9C">
              <w:t>Quartile</w:t>
            </w:r>
            <w:r>
              <w:rPr>
                <w:rFonts w:cs="Arial"/>
              </w:rPr>
              <w:t xml:space="preserve"> 4: 63.1% (1503 headcount) women and 36.9% (880 headcount) men</w:t>
            </w:r>
          </w:p>
          <w:p w14:paraId="2581342E" w14:textId="77777777" w:rsidR="008D7F61" w:rsidRPr="003E7E31" w:rsidRDefault="008D7F61" w:rsidP="00BF0A24">
            <w:pPr>
              <w:pStyle w:val="Heading1"/>
              <w:numPr>
                <w:ilvl w:val="0"/>
                <w:numId w:val="12"/>
              </w:numPr>
              <w:spacing w:before="120" w:after="0" w:line="276" w:lineRule="auto"/>
              <w:ind w:left="709" w:hanging="709"/>
              <w:rPr>
                <w:color w:val="auto"/>
                <w:sz w:val="24"/>
                <w:szCs w:val="24"/>
              </w:rPr>
            </w:pPr>
            <w:r w:rsidRPr="003E7E31">
              <w:rPr>
                <w:color w:val="auto"/>
                <w:sz w:val="24"/>
                <w:szCs w:val="24"/>
              </w:rPr>
              <w:t>Workforce Overview</w:t>
            </w:r>
          </w:p>
          <w:p w14:paraId="02E98B0C" w14:textId="77777777" w:rsidR="00D51E9C" w:rsidRPr="00D51E9C" w:rsidRDefault="00D51E9C" w:rsidP="00BF0A24">
            <w:pPr>
              <w:pStyle w:val="ListParagraph"/>
              <w:numPr>
                <w:ilvl w:val="0"/>
                <w:numId w:val="18"/>
              </w:numPr>
              <w:spacing w:line="276" w:lineRule="auto"/>
              <w:jc w:val="both"/>
              <w:rPr>
                <w:vanish/>
              </w:rPr>
            </w:pPr>
          </w:p>
          <w:p w14:paraId="68BB85B3" w14:textId="5EA88B01" w:rsidR="008D7F61" w:rsidRDefault="008D7F61" w:rsidP="00BF0A24">
            <w:pPr>
              <w:pStyle w:val="ListParagraph"/>
              <w:numPr>
                <w:ilvl w:val="1"/>
                <w:numId w:val="18"/>
              </w:numPr>
              <w:spacing w:line="276" w:lineRule="auto"/>
              <w:ind w:left="709"/>
              <w:jc w:val="both"/>
              <w:rPr>
                <w:rFonts w:cs="Arial"/>
              </w:rPr>
            </w:pPr>
            <w:r w:rsidRPr="00D51E9C">
              <w:t>Pay</w:t>
            </w:r>
            <w:r w:rsidRPr="003E7E31">
              <w:rPr>
                <w:rFonts w:cs="Arial"/>
              </w:rPr>
              <w:t xml:space="preserve"> data is sourced from the national Electronic Staff Record (ESR). As of this date, GHNHSFT data shows that percentages of women and men remained the same as in 2024, at 78.1% (women) and 21.9% (men). This report fully complies with the Equality Act 2010 regulations, including the </w:t>
            </w:r>
            <w:r w:rsidRPr="00E602B2">
              <w:t>GPG</w:t>
            </w:r>
            <w:r w:rsidRPr="003E7E31">
              <w:rPr>
                <w:rFonts w:cs="Arial"/>
              </w:rPr>
              <w:t xml:space="preserve"> Information Regulations 2017.</w:t>
            </w:r>
          </w:p>
          <w:p w14:paraId="7D051EAE" w14:textId="77777777" w:rsidR="008D7F61" w:rsidRPr="005C42CC" w:rsidRDefault="008D7F61" w:rsidP="00BF0A24">
            <w:pPr>
              <w:pStyle w:val="ListParagraph"/>
              <w:numPr>
                <w:ilvl w:val="1"/>
                <w:numId w:val="18"/>
              </w:numPr>
              <w:spacing w:after="120" w:line="276" w:lineRule="auto"/>
              <w:ind w:left="709"/>
              <w:contextualSpacing w:val="0"/>
              <w:jc w:val="both"/>
              <w:rPr>
                <w:rFonts w:cs="Arial"/>
              </w:rPr>
            </w:pPr>
            <w:r w:rsidRPr="00D51E9C">
              <w:t>For</w:t>
            </w:r>
            <w:r w:rsidRPr="005C42CC">
              <w:rPr>
                <w:rFonts w:cs="Arial"/>
              </w:rPr>
              <w:t xml:space="preserve"> this report the numbers have all been rounded to 1 decimal place. This may mean that the accumulative figures add up slightly more of less than 100.</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25"/>
              <w:gridCol w:w="1457"/>
              <w:gridCol w:w="1081"/>
              <w:gridCol w:w="1466"/>
              <w:gridCol w:w="1160"/>
              <w:gridCol w:w="3359"/>
            </w:tblGrid>
            <w:tr w:rsidR="008D7F61" w:rsidRPr="00395526" w14:paraId="7DC8C8D3" w14:textId="77777777" w:rsidTr="00A54ABD">
              <w:trPr>
                <w:trHeight w:val="20"/>
              </w:trPr>
              <w:tc>
                <w:tcPr>
                  <w:tcW w:w="803" w:type="pct"/>
                  <w:shd w:val="clear" w:color="auto" w:fill="0070C0"/>
                  <w:vAlign w:val="center"/>
                </w:tcPr>
                <w:p w14:paraId="487706AD" w14:textId="77777777" w:rsidR="008D7F61" w:rsidRPr="00D51E9C" w:rsidRDefault="008D7F61" w:rsidP="00D51E9C">
                  <w:pPr>
                    <w:rPr>
                      <w:rFonts w:cs="Arial"/>
                      <w:b/>
                      <w:bCs/>
                      <w:color w:val="FFFFFF" w:themeColor="background1"/>
                    </w:rPr>
                  </w:pPr>
                  <w:bookmarkStart w:id="0" w:name="_Hlk138172219"/>
                  <w:r w:rsidRPr="00D51E9C">
                    <w:rPr>
                      <w:rFonts w:cs="Arial"/>
                      <w:b/>
                      <w:bCs/>
                      <w:color w:val="FFFFFF" w:themeColor="background1"/>
                    </w:rPr>
                    <w:t>Workforce Data</w:t>
                  </w:r>
                </w:p>
              </w:tc>
              <w:tc>
                <w:tcPr>
                  <w:tcW w:w="706" w:type="pct"/>
                  <w:shd w:val="clear" w:color="auto" w:fill="0070C0"/>
                  <w:vAlign w:val="center"/>
                </w:tcPr>
                <w:p w14:paraId="1947F24B" w14:textId="77777777" w:rsidR="008D7F61" w:rsidRPr="00D51E9C" w:rsidRDefault="008D7F61" w:rsidP="00D51E9C">
                  <w:pPr>
                    <w:rPr>
                      <w:rFonts w:cs="Arial"/>
                      <w:b/>
                      <w:bCs/>
                      <w:color w:val="FFFFFF" w:themeColor="background1"/>
                    </w:rPr>
                  </w:pPr>
                  <w:r w:rsidRPr="00D51E9C">
                    <w:rPr>
                      <w:rFonts w:cs="Arial"/>
                      <w:b/>
                      <w:bCs/>
                      <w:color w:val="FFFFFF" w:themeColor="background1"/>
                    </w:rPr>
                    <w:t>2025 Headcount</w:t>
                  </w:r>
                </w:p>
              </w:tc>
              <w:tc>
                <w:tcPr>
                  <w:tcW w:w="535" w:type="pct"/>
                  <w:shd w:val="clear" w:color="auto" w:fill="0070C0"/>
                  <w:vAlign w:val="center"/>
                </w:tcPr>
                <w:p w14:paraId="7826D9BF" w14:textId="77777777" w:rsidR="008D7F61" w:rsidRPr="00D51E9C" w:rsidRDefault="008D7F61" w:rsidP="00D51E9C">
                  <w:pPr>
                    <w:rPr>
                      <w:rFonts w:cs="Arial"/>
                      <w:b/>
                      <w:bCs/>
                      <w:color w:val="FFFFFF" w:themeColor="background1"/>
                    </w:rPr>
                  </w:pPr>
                  <w:r w:rsidRPr="00D51E9C">
                    <w:rPr>
                      <w:rFonts w:cs="Arial"/>
                      <w:b/>
                      <w:bCs/>
                      <w:color w:val="FFFFFF" w:themeColor="background1"/>
                    </w:rPr>
                    <w:t>2025%</w:t>
                  </w:r>
                </w:p>
              </w:tc>
              <w:tc>
                <w:tcPr>
                  <w:tcW w:w="725" w:type="pct"/>
                  <w:shd w:val="clear" w:color="auto" w:fill="0070C0"/>
                  <w:vAlign w:val="center"/>
                </w:tcPr>
                <w:p w14:paraId="057C5E90" w14:textId="77777777" w:rsidR="008D7F61" w:rsidRPr="00D51E9C" w:rsidRDefault="008D7F61" w:rsidP="00D51E9C">
                  <w:pPr>
                    <w:rPr>
                      <w:rFonts w:cs="Arial"/>
                      <w:b/>
                      <w:bCs/>
                      <w:color w:val="FFFFFF" w:themeColor="background1"/>
                    </w:rPr>
                  </w:pPr>
                  <w:r w:rsidRPr="00D51E9C">
                    <w:rPr>
                      <w:rFonts w:cs="Arial"/>
                      <w:b/>
                      <w:bCs/>
                      <w:color w:val="FFFFFF" w:themeColor="background1"/>
                    </w:rPr>
                    <w:t>2024 Headcount</w:t>
                  </w:r>
                </w:p>
              </w:tc>
              <w:tc>
                <w:tcPr>
                  <w:tcW w:w="574" w:type="pct"/>
                  <w:shd w:val="clear" w:color="auto" w:fill="0070C0"/>
                  <w:vAlign w:val="center"/>
                </w:tcPr>
                <w:p w14:paraId="0F447CA1" w14:textId="77777777" w:rsidR="008D7F61" w:rsidRPr="00D51E9C" w:rsidRDefault="008D7F61" w:rsidP="00D51E9C">
                  <w:pPr>
                    <w:rPr>
                      <w:rFonts w:cs="Arial"/>
                      <w:b/>
                      <w:bCs/>
                      <w:color w:val="FFFFFF" w:themeColor="background1"/>
                    </w:rPr>
                  </w:pPr>
                  <w:r w:rsidRPr="00D51E9C">
                    <w:rPr>
                      <w:rFonts w:cs="Arial"/>
                      <w:b/>
                      <w:bCs/>
                      <w:color w:val="FFFFFF" w:themeColor="background1"/>
                    </w:rPr>
                    <w:t>2024%</w:t>
                  </w:r>
                </w:p>
              </w:tc>
              <w:tc>
                <w:tcPr>
                  <w:tcW w:w="1657" w:type="pct"/>
                  <w:shd w:val="clear" w:color="auto" w:fill="0070C0"/>
                  <w:vAlign w:val="center"/>
                </w:tcPr>
                <w:p w14:paraId="516DD673" w14:textId="77777777" w:rsidR="008D7F61" w:rsidRPr="00D51E9C" w:rsidRDefault="008D7F61" w:rsidP="00D51E9C">
                  <w:pPr>
                    <w:rPr>
                      <w:rFonts w:cs="Arial"/>
                      <w:b/>
                      <w:bCs/>
                      <w:color w:val="FFFFFF" w:themeColor="background1"/>
                    </w:rPr>
                  </w:pPr>
                  <w:r w:rsidRPr="00D51E9C">
                    <w:rPr>
                      <w:rFonts w:cs="Arial"/>
                      <w:b/>
                      <w:bCs/>
                      <w:color w:val="FFFFFF" w:themeColor="background1"/>
                    </w:rPr>
                    <w:t>% Difference</w:t>
                  </w:r>
                </w:p>
              </w:tc>
            </w:tr>
            <w:tr w:rsidR="008D7F61" w:rsidRPr="00395526" w14:paraId="19B28C41" w14:textId="77777777" w:rsidTr="00A54ABD">
              <w:trPr>
                <w:trHeight w:val="20"/>
              </w:trPr>
              <w:tc>
                <w:tcPr>
                  <w:tcW w:w="803" w:type="pct"/>
                  <w:shd w:val="clear" w:color="auto" w:fill="A4CDFA"/>
                  <w:vAlign w:val="center"/>
                </w:tcPr>
                <w:p w14:paraId="1ACD38B2" w14:textId="77777777" w:rsidR="008D7F61" w:rsidRPr="00D51E9C" w:rsidRDefault="008D7F61" w:rsidP="00D51E9C">
                  <w:pPr>
                    <w:rPr>
                      <w:rFonts w:cs="Arial"/>
                    </w:rPr>
                  </w:pPr>
                  <w:r w:rsidRPr="00D51E9C">
                    <w:rPr>
                      <w:rFonts w:cs="Arial"/>
                    </w:rPr>
                    <w:t>Total Workforce</w:t>
                  </w:r>
                </w:p>
              </w:tc>
              <w:tc>
                <w:tcPr>
                  <w:tcW w:w="706" w:type="pct"/>
                  <w:vAlign w:val="center"/>
                </w:tcPr>
                <w:p w14:paraId="4E04C9D3" w14:textId="77777777" w:rsidR="008D7F61" w:rsidRPr="006C5323" w:rsidRDefault="008D7F61" w:rsidP="00D51E9C">
                  <w:pPr>
                    <w:rPr>
                      <w:rFonts w:cs="Arial"/>
                    </w:rPr>
                  </w:pPr>
                  <w:r>
                    <w:rPr>
                      <w:rFonts w:cs="Arial"/>
                    </w:rPr>
                    <w:t>9382</w:t>
                  </w:r>
                </w:p>
              </w:tc>
              <w:tc>
                <w:tcPr>
                  <w:tcW w:w="535" w:type="pct"/>
                  <w:shd w:val="clear" w:color="auto" w:fill="0070C0"/>
                  <w:vAlign w:val="center"/>
                </w:tcPr>
                <w:p w14:paraId="28BF703B" w14:textId="77777777" w:rsidR="008D7F61" w:rsidRPr="006C5323" w:rsidRDefault="008D7F61" w:rsidP="00D51E9C">
                  <w:pPr>
                    <w:rPr>
                      <w:rFonts w:cs="Arial"/>
                    </w:rPr>
                  </w:pPr>
                </w:p>
              </w:tc>
              <w:tc>
                <w:tcPr>
                  <w:tcW w:w="725" w:type="pct"/>
                  <w:vAlign w:val="center"/>
                </w:tcPr>
                <w:p w14:paraId="53415356" w14:textId="77777777" w:rsidR="008D7F61" w:rsidRPr="006C5323" w:rsidRDefault="008D7F61" w:rsidP="00D51E9C">
                  <w:pPr>
                    <w:rPr>
                      <w:rFonts w:cs="Arial"/>
                    </w:rPr>
                  </w:pPr>
                  <w:r w:rsidRPr="006C5323">
                    <w:rPr>
                      <w:rFonts w:eastAsia="Arial" w:cs="Arial"/>
                      <w:spacing w:val="2"/>
                    </w:rPr>
                    <w:t>9192</w:t>
                  </w:r>
                </w:p>
              </w:tc>
              <w:tc>
                <w:tcPr>
                  <w:tcW w:w="574" w:type="pct"/>
                  <w:shd w:val="clear" w:color="auto" w:fill="0070C0"/>
                  <w:vAlign w:val="center"/>
                </w:tcPr>
                <w:p w14:paraId="0C26E429" w14:textId="77777777" w:rsidR="008D7F61" w:rsidRPr="006C5323" w:rsidRDefault="008D7F61" w:rsidP="00D51E9C">
                  <w:pPr>
                    <w:rPr>
                      <w:rFonts w:cs="Arial"/>
                      <w:color w:val="0F9ED5" w:themeColor="accent4"/>
                    </w:rPr>
                  </w:pPr>
                </w:p>
              </w:tc>
              <w:tc>
                <w:tcPr>
                  <w:tcW w:w="1657" w:type="pct"/>
                  <w:vAlign w:val="center"/>
                </w:tcPr>
                <w:p w14:paraId="4B0BAB2C" w14:textId="5487EB21" w:rsidR="008D7F61" w:rsidRPr="00123E9E" w:rsidRDefault="008D7F61" w:rsidP="00D51E9C">
                  <w:pPr>
                    <w:rPr>
                      <w:rFonts w:cs="Arial"/>
                    </w:rPr>
                  </w:pPr>
                  <w:r>
                    <w:rPr>
                      <w:rFonts w:cs="Arial"/>
                    </w:rPr>
                    <w:t>Increase of 2.1% compared to 2024</w:t>
                  </w:r>
                </w:p>
              </w:tc>
            </w:tr>
            <w:tr w:rsidR="008D7F61" w:rsidRPr="00395526" w14:paraId="620AF767" w14:textId="77777777" w:rsidTr="00A54ABD">
              <w:trPr>
                <w:trHeight w:val="20"/>
              </w:trPr>
              <w:tc>
                <w:tcPr>
                  <w:tcW w:w="803" w:type="pct"/>
                  <w:shd w:val="clear" w:color="auto" w:fill="A4CDFA"/>
                  <w:vAlign w:val="center"/>
                </w:tcPr>
                <w:p w14:paraId="71BB6836" w14:textId="77777777" w:rsidR="008D7F61" w:rsidRPr="00D51E9C" w:rsidRDefault="008D7F61" w:rsidP="00D51E9C">
                  <w:pPr>
                    <w:rPr>
                      <w:rFonts w:cs="Arial"/>
                    </w:rPr>
                  </w:pPr>
                  <w:r w:rsidRPr="00D51E9C">
                    <w:rPr>
                      <w:rFonts w:cs="Arial"/>
                    </w:rPr>
                    <w:t>Men</w:t>
                  </w:r>
                </w:p>
              </w:tc>
              <w:tc>
                <w:tcPr>
                  <w:tcW w:w="706" w:type="pct"/>
                  <w:vAlign w:val="center"/>
                </w:tcPr>
                <w:p w14:paraId="3D99CE36" w14:textId="77777777" w:rsidR="008D7F61" w:rsidRPr="006C5323" w:rsidRDefault="008D7F61" w:rsidP="00D51E9C">
                  <w:pPr>
                    <w:rPr>
                      <w:rFonts w:cs="Arial"/>
                    </w:rPr>
                  </w:pPr>
                  <w:r>
                    <w:rPr>
                      <w:rFonts w:cs="Arial"/>
                    </w:rPr>
                    <w:t>2057</w:t>
                  </w:r>
                </w:p>
              </w:tc>
              <w:tc>
                <w:tcPr>
                  <w:tcW w:w="535" w:type="pct"/>
                  <w:vAlign w:val="center"/>
                </w:tcPr>
                <w:p w14:paraId="5088CB5A" w14:textId="77777777" w:rsidR="008D7F61" w:rsidRPr="006C5323" w:rsidRDefault="008D7F61" w:rsidP="00D51E9C">
                  <w:pPr>
                    <w:rPr>
                      <w:rFonts w:cs="Arial"/>
                    </w:rPr>
                  </w:pPr>
                  <w:r>
                    <w:rPr>
                      <w:rFonts w:cs="Arial"/>
                    </w:rPr>
                    <w:t>21.9%</w:t>
                  </w:r>
                </w:p>
              </w:tc>
              <w:tc>
                <w:tcPr>
                  <w:tcW w:w="725" w:type="pct"/>
                  <w:vAlign w:val="center"/>
                </w:tcPr>
                <w:p w14:paraId="2AEE1E74" w14:textId="77777777" w:rsidR="008D7F61" w:rsidRPr="006C5323" w:rsidRDefault="008D7F61" w:rsidP="00D51E9C">
                  <w:pPr>
                    <w:rPr>
                      <w:rFonts w:cs="Arial"/>
                    </w:rPr>
                  </w:pPr>
                  <w:r w:rsidRPr="006C5323">
                    <w:rPr>
                      <w:rFonts w:cs="Arial"/>
                    </w:rPr>
                    <w:t>2010</w:t>
                  </w:r>
                </w:p>
              </w:tc>
              <w:tc>
                <w:tcPr>
                  <w:tcW w:w="574" w:type="pct"/>
                  <w:vAlign w:val="center"/>
                </w:tcPr>
                <w:p w14:paraId="0C130B0E" w14:textId="77777777" w:rsidR="008D7F61" w:rsidRPr="006C5323" w:rsidRDefault="008D7F61" w:rsidP="00D51E9C">
                  <w:pPr>
                    <w:rPr>
                      <w:rFonts w:cs="Arial"/>
                    </w:rPr>
                  </w:pPr>
                  <w:r w:rsidRPr="006C5323">
                    <w:rPr>
                      <w:rFonts w:cs="Arial"/>
                    </w:rPr>
                    <w:t>21.9%</w:t>
                  </w:r>
                </w:p>
              </w:tc>
              <w:tc>
                <w:tcPr>
                  <w:tcW w:w="1657" w:type="pct"/>
                  <w:vAlign w:val="center"/>
                </w:tcPr>
                <w:p w14:paraId="519BD36E" w14:textId="77777777" w:rsidR="008D7F61" w:rsidRPr="00C8705A" w:rsidRDefault="008D7F61" w:rsidP="00D51E9C">
                  <w:pPr>
                    <w:rPr>
                      <w:rFonts w:cs="Arial"/>
                    </w:rPr>
                  </w:pPr>
                  <w:r>
                    <w:rPr>
                      <w:rFonts w:cs="Arial"/>
                    </w:rPr>
                    <w:t>% stayed the same compared to 2024</w:t>
                  </w:r>
                </w:p>
              </w:tc>
            </w:tr>
            <w:tr w:rsidR="008D7F61" w:rsidRPr="00395526" w14:paraId="67F74A7F" w14:textId="77777777" w:rsidTr="00A54ABD">
              <w:trPr>
                <w:trHeight w:val="20"/>
              </w:trPr>
              <w:tc>
                <w:tcPr>
                  <w:tcW w:w="803" w:type="pct"/>
                  <w:shd w:val="clear" w:color="auto" w:fill="A4CDFA"/>
                  <w:vAlign w:val="center"/>
                </w:tcPr>
                <w:p w14:paraId="59C21F74" w14:textId="77777777" w:rsidR="008D7F61" w:rsidRPr="00D51E9C" w:rsidRDefault="008D7F61" w:rsidP="00D51E9C">
                  <w:pPr>
                    <w:rPr>
                      <w:rFonts w:cs="Arial"/>
                    </w:rPr>
                  </w:pPr>
                  <w:r w:rsidRPr="00D51E9C">
                    <w:rPr>
                      <w:rFonts w:cs="Arial"/>
                    </w:rPr>
                    <w:t>Women</w:t>
                  </w:r>
                </w:p>
              </w:tc>
              <w:tc>
                <w:tcPr>
                  <w:tcW w:w="706" w:type="pct"/>
                  <w:vAlign w:val="center"/>
                </w:tcPr>
                <w:p w14:paraId="073D9AB5" w14:textId="77777777" w:rsidR="008D7F61" w:rsidRPr="006C5323" w:rsidRDefault="008D7F61" w:rsidP="00D51E9C">
                  <w:pPr>
                    <w:rPr>
                      <w:rFonts w:cs="Arial"/>
                    </w:rPr>
                  </w:pPr>
                  <w:r>
                    <w:rPr>
                      <w:rFonts w:cs="Arial"/>
                    </w:rPr>
                    <w:t>7325</w:t>
                  </w:r>
                </w:p>
              </w:tc>
              <w:tc>
                <w:tcPr>
                  <w:tcW w:w="535" w:type="pct"/>
                  <w:vAlign w:val="center"/>
                </w:tcPr>
                <w:p w14:paraId="6164C501" w14:textId="77777777" w:rsidR="008D7F61" w:rsidRPr="006C5323" w:rsidRDefault="008D7F61" w:rsidP="00D51E9C">
                  <w:pPr>
                    <w:rPr>
                      <w:rFonts w:cs="Arial"/>
                    </w:rPr>
                  </w:pPr>
                  <w:r>
                    <w:rPr>
                      <w:rFonts w:cs="Arial"/>
                    </w:rPr>
                    <w:t>78.1%</w:t>
                  </w:r>
                </w:p>
              </w:tc>
              <w:tc>
                <w:tcPr>
                  <w:tcW w:w="725" w:type="pct"/>
                  <w:vAlign w:val="center"/>
                </w:tcPr>
                <w:p w14:paraId="71E69A7E" w14:textId="77777777" w:rsidR="008D7F61" w:rsidRPr="006C5323" w:rsidRDefault="008D7F61" w:rsidP="00D51E9C">
                  <w:pPr>
                    <w:rPr>
                      <w:rFonts w:cs="Arial"/>
                    </w:rPr>
                  </w:pPr>
                  <w:r w:rsidRPr="006C5323">
                    <w:rPr>
                      <w:rFonts w:cs="Arial"/>
                    </w:rPr>
                    <w:t>7182</w:t>
                  </w:r>
                </w:p>
              </w:tc>
              <w:tc>
                <w:tcPr>
                  <w:tcW w:w="574" w:type="pct"/>
                  <w:vAlign w:val="center"/>
                </w:tcPr>
                <w:p w14:paraId="36C1B987" w14:textId="77777777" w:rsidR="008D7F61" w:rsidRPr="006C5323" w:rsidRDefault="008D7F61" w:rsidP="00D51E9C">
                  <w:pPr>
                    <w:rPr>
                      <w:rFonts w:cs="Arial"/>
                    </w:rPr>
                  </w:pPr>
                  <w:r w:rsidRPr="006C5323">
                    <w:rPr>
                      <w:rFonts w:cs="Arial"/>
                    </w:rPr>
                    <w:t>78.1%</w:t>
                  </w:r>
                </w:p>
              </w:tc>
              <w:tc>
                <w:tcPr>
                  <w:tcW w:w="1657" w:type="pct"/>
                  <w:vAlign w:val="center"/>
                </w:tcPr>
                <w:p w14:paraId="40F73D4B" w14:textId="77777777" w:rsidR="008D7F61" w:rsidRPr="00C8705A" w:rsidRDefault="008D7F61" w:rsidP="00D51E9C">
                  <w:pPr>
                    <w:rPr>
                      <w:rFonts w:cs="Arial"/>
                    </w:rPr>
                  </w:pPr>
                  <w:r>
                    <w:rPr>
                      <w:rFonts w:cs="Arial"/>
                    </w:rPr>
                    <w:t>% stayed the same compared to 2024</w:t>
                  </w:r>
                </w:p>
              </w:tc>
            </w:tr>
          </w:tbl>
          <w:bookmarkEnd w:id="0"/>
          <w:p w14:paraId="14F1EBB1" w14:textId="77777777" w:rsidR="008D7F61" w:rsidRDefault="008D7F61" w:rsidP="00BF0A24">
            <w:pPr>
              <w:pStyle w:val="ListParagraph"/>
              <w:numPr>
                <w:ilvl w:val="1"/>
                <w:numId w:val="18"/>
              </w:numPr>
              <w:spacing w:before="120" w:after="120" w:line="276" w:lineRule="auto"/>
              <w:ind w:left="709"/>
              <w:jc w:val="both"/>
            </w:pPr>
            <w:r w:rsidRPr="00615776">
              <w:t>The Trust’s workforce increased by 2.1% from 2024 to 2025, rising from 9,192 to 9,382 staff. The proportions of men and women in the workforce remained unchanged, with 21.9% men and 78.1% women in both years.</w:t>
            </w:r>
          </w:p>
          <w:p w14:paraId="1FEB9AF4" w14:textId="77777777" w:rsidR="008D7F61" w:rsidRPr="005C42CC" w:rsidRDefault="008D7F61" w:rsidP="008650AE">
            <w:pPr>
              <w:pStyle w:val="Heading1"/>
              <w:numPr>
                <w:ilvl w:val="0"/>
                <w:numId w:val="12"/>
              </w:numPr>
              <w:spacing w:after="0" w:line="276" w:lineRule="auto"/>
              <w:ind w:left="709" w:hanging="709"/>
              <w:rPr>
                <w:color w:val="auto"/>
                <w:sz w:val="24"/>
                <w:szCs w:val="24"/>
              </w:rPr>
            </w:pPr>
            <w:r w:rsidRPr="005C42CC">
              <w:rPr>
                <w:color w:val="auto"/>
                <w:sz w:val="24"/>
                <w:szCs w:val="24"/>
              </w:rPr>
              <w:t>Gender Pay Gap – All Staff</w:t>
            </w:r>
            <w:bookmarkStart w:id="1" w:name="_Hlk174037330"/>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Look w:val="04A0" w:firstRow="1" w:lastRow="0" w:firstColumn="1" w:lastColumn="0" w:noHBand="0" w:noVBand="1"/>
            </w:tblPr>
            <w:tblGrid>
              <w:gridCol w:w="3236"/>
              <w:gridCol w:w="3088"/>
              <w:gridCol w:w="3824"/>
            </w:tblGrid>
            <w:tr w:rsidR="008D7F61" w:rsidRPr="00637A30" w14:paraId="5EBC7FDD" w14:textId="77777777" w:rsidTr="00A54ABD">
              <w:trPr>
                <w:trHeight w:val="189"/>
              </w:trPr>
              <w:tc>
                <w:tcPr>
                  <w:tcW w:w="1594" w:type="pct"/>
                  <w:shd w:val="clear" w:color="auto" w:fill="0070C0"/>
                  <w:vAlign w:val="center"/>
                </w:tcPr>
                <w:p w14:paraId="2CA43837" w14:textId="77777777" w:rsidR="008D7F61" w:rsidRPr="00D51E9C" w:rsidRDefault="008D7F61" w:rsidP="00D51E9C">
                  <w:pPr>
                    <w:rPr>
                      <w:rFonts w:cs="Arial"/>
                      <w:b/>
                      <w:bCs/>
                      <w:color w:val="FFFFFF" w:themeColor="background1"/>
                    </w:rPr>
                  </w:pPr>
                  <w:bookmarkStart w:id="2" w:name="_Hlk187646965"/>
                  <w:bookmarkStart w:id="3" w:name="_Hlk187647899"/>
                  <w:bookmarkEnd w:id="1"/>
                  <w:r w:rsidRPr="00D51E9C">
                    <w:rPr>
                      <w:rFonts w:cs="Arial"/>
                      <w:b/>
                      <w:bCs/>
                      <w:color w:val="FFFFFF" w:themeColor="background1"/>
                    </w:rPr>
                    <w:t>Difference in Pay</w:t>
                  </w:r>
                </w:p>
              </w:tc>
              <w:tc>
                <w:tcPr>
                  <w:tcW w:w="1521" w:type="pct"/>
                  <w:shd w:val="clear" w:color="auto" w:fill="0070C0"/>
                  <w:vAlign w:val="center"/>
                </w:tcPr>
                <w:p w14:paraId="330D6AF3" w14:textId="77777777" w:rsidR="008D7F61" w:rsidRPr="00D51E9C" w:rsidRDefault="008D7F61" w:rsidP="00D51E9C">
                  <w:pPr>
                    <w:rPr>
                      <w:rFonts w:cs="Arial"/>
                      <w:b/>
                      <w:bCs/>
                      <w:color w:val="FFFFFF" w:themeColor="background1"/>
                    </w:rPr>
                  </w:pPr>
                  <w:r w:rsidRPr="00D51E9C">
                    <w:rPr>
                      <w:rFonts w:cs="Arial"/>
                      <w:b/>
                      <w:bCs/>
                      <w:color w:val="FFFFFF" w:themeColor="background1"/>
                    </w:rPr>
                    <w:t>Gender Pay Gap</w:t>
                  </w:r>
                </w:p>
              </w:tc>
              <w:tc>
                <w:tcPr>
                  <w:tcW w:w="1884" w:type="pct"/>
                  <w:shd w:val="clear" w:color="auto" w:fill="0070C0"/>
                  <w:vAlign w:val="center"/>
                </w:tcPr>
                <w:p w14:paraId="24CCC55E" w14:textId="77777777" w:rsidR="008D7F61" w:rsidRPr="00D51E9C" w:rsidRDefault="008D7F61" w:rsidP="00D51E9C">
                  <w:pPr>
                    <w:rPr>
                      <w:rFonts w:cs="Arial"/>
                      <w:b/>
                      <w:bCs/>
                      <w:color w:val="FFFFFF" w:themeColor="background1"/>
                    </w:rPr>
                  </w:pPr>
                  <w:r w:rsidRPr="00D51E9C">
                    <w:rPr>
                      <w:rFonts w:cs="Arial"/>
                      <w:b/>
                      <w:bCs/>
                      <w:color w:val="FFFFFF" w:themeColor="background1"/>
                    </w:rPr>
                    <w:t>Compared to 2024</w:t>
                  </w:r>
                </w:p>
              </w:tc>
            </w:tr>
            <w:bookmarkEnd w:id="2"/>
            <w:tr w:rsidR="008D7F61" w:rsidRPr="00637A30" w14:paraId="42D2D537" w14:textId="77777777" w:rsidTr="00A54ABD">
              <w:trPr>
                <w:trHeight w:val="417"/>
              </w:trPr>
              <w:tc>
                <w:tcPr>
                  <w:tcW w:w="1594" w:type="pct"/>
                  <w:vAlign w:val="center"/>
                </w:tcPr>
                <w:p w14:paraId="00821D87" w14:textId="77777777" w:rsidR="008D7F61" w:rsidRPr="00F77F2F" w:rsidRDefault="008D7F61" w:rsidP="00D51E9C">
                  <w:pPr>
                    <w:rPr>
                      <w:rFonts w:cs="Arial"/>
                    </w:rPr>
                  </w:pPr>
                  <w:r w:rsidRPr="00F77F2F">
                    <w:rPr>
                      <w:rFonts w:cs="Arial"/>
                    </w:rPr>
                    <w:t>Mean hourly pay for men £7.79 higher than women</w:t>
                  </w:r>
                </w:p>
              </w:tc>
              <w:tc>
                <w:tcPr>
                  <w:tcW w:w="1521" w:type="pct"/>
                  <w:vAlign w:val="center"/>
                </w:tcPr>
                <w:p w14:paraId="1AB36829" w14:textId="77777777" w:rsidR="008D7F61" w:rsidRPr="00637A30" w:rsidRDefault="008D7F61" w:rsidP="00D51E9C">
                  <w:pPr>
                    <w:rPr>
                      <w:rFonts w:cs="Arial"/>
                    </w:rPr>
                  </w:pPr>
                  <w:r w:rsidRPr="00637A30">
                    <w:rPr>
                      <w:rFonts w:cs="Arial"/>
                    </w:rPr>
                    <w:t xml:space="preserve">Gender </w:t>
                  </w:r>
                  <w:r>
                    <w:rPr>
                      <w:rFonts w:cs="Arial"/>
                    </w:rPr>
                    <w:t>P</w:t>
                  </w:r>
                  <w:r w:rsidRPr="00637A30">
                    <w:rPr>
                      <w:rFonts w:cs="Arial"/>
                    </w:rPr>
                    <w:t xml:space="preserve">ay </w:t>
                  </w:r>
                  <w:r>
                    <w:rPr>
                      <w:rFonts w:cs="Arial"/>
                    </w:rPr>
                    <w:t>G</w:t>
                  </w:r>
                  <w:r w:rsidRPr="00637A30">
                    <w:rPr>
                      <w:rFonts w:cs="Arial"/>
                    </w:rPr>
                    <w:t>ap of 2</w:t>
                  </w:r>
                  <w:r>
                    <w:rPr>
                      <w:rFonts w:cs="Arial"/>
                    </w:rPr>
                    <w:t>6.5</w:t>
                  </w:r>
                  <w:r w:rsidRPr="00637A30">
                    <w:rPr>
                      <w:rFonts w:cs="Arial"/>
                    </w:rPr>
                    <w:t>%</w:t>
                  </w:r>
                </w:p>
              </w:tc>
              <w:tc>
                <w:tcPr>
                  <w:tcW w:w="1884" w:type="pct"/>
                  <w:vAlign w:val="center"/>
                </w:tcPr>
                <w:p w14:paraId="6FAFB580" w14:textId="77777777" w:rsidR="008D7F61" w:rsidRPr="00DA5526" w:rsidRDefault="008D7F61" w:rsidP="00D51E9C">
                  <w:pPr>
                    <w:rPr>
                      <w:rFonts w:cs="Arial"/>
                      <w:i/>
                      <w:iCs/>
                    </w:rPr>
                  </w:pPr>
                  <w:r>
                    <w:rPr>
                      <w:rFonts w:cs="Arial"/>
                    </w:rPr>
                    <w:t xml:space="preserve">Increase of 3.2% </w:t>
                  </w:r>
                  <w:r>
                    <w:rPr>
                      <w:rFonts w:cs="Arial"/>
                      <w:i/>
                      <w:iCs/>
                    </w:rPr>
                    <w:t>(23.3% in 2024)</w:t>
                  </w:r>
                </w:p>
              </w:tc>
            </w:tr>
            <w:tr w:rsidR="008D7F61" w:rsidRPr="00637A30" w14:paraId="58082FD0" w14:textId="77777777" w:rsidTr="00A54ABD">
              <w:tc>
                <w:tcPr>
                  <w:tcW w:w="1594" w:type="pct"/>
                  <w:vAlign w:val="center"/>
                </w:tcPr>
                <w:p w14:paraId="2D4A7BD1" w14:textId="77777777" w:rsidR="008D7F61" w:rsidRPr="00F77F2F" w:rsidRDefault="008D7F61" w:rsidP="00D51E9C">
                  <w:pPr>
                    <w:rPr>
                      <w:rFonts w:cs="Arial"/>
                    </w:rPr>
                  </w:pPr>
                  <w:r w:rsidRPr="00F77F2F">
                    <w:rPr>
                      <w:rFonts w:cs="Arial"/>
                    </w:rPr>
                    <w:t>Median hourly pay for men £4.20 higher than women</w:t>
                  </w:r>
                </w:p>
              </w:tc>
              <w:tc>
                <w:tcPr>
                  <w:tcW w:w="1521" w:type="pct"/>
                  <w:vAlign w:val="center"/>
                </w:tcPr>
                <w:p w14:paraId="1D7CDCCA" w14:textId="77777777" w:rsidR="008D7F61" w:rsidRPr="00637A30" w:rsidRDefault="008D7F61" w:rsidP="00D51E9C">
                  <w:pPr>
                    <w:rPr>
                      <w:rFonts w:cs="Arial"/>
                    </w:rPr>
                  </w:pPr>
                  <w:r w:rsidRPr="00637A30">
                    <w:rPr>
                      <w:rFonts w:cs="Arial"/>
                    </w:rPr>
                    <w:t xml:space="preserve">Gender </w:t>
                  </w:r>
                  <w:r>
                    <w:rPr>
                      <w:rFonts w:cs="Arial"/>
                    </w:rPr>
                    <w:t>P</w:t>
                  </w:r>
                  <w:r w:rsidRPr="00637A30">
                    <w:rPr>
                      <w:rFonts w:cs="Arial"/>
                    </w:rPr>
                    <w:t xml:space="preserve">ay </w:t>
                  </w:r>
                  <w:r>
                    <w:rPr>
                      <w:rFonts w:cs="Arial"/>
                    </w:rPr>
                    <w:t>G</w:t>
                  </w:r>
                  <w:r w:rsidRPr="00637A30">
                    <w:rPr>
                      <w:rFonts w:cs="Arial"/>
                    </w:rPr>
                    <w:t>ap of 1</w:t>
                  </w:r>
                  <w:r>
                    <w:rPr>
                      <w:rFonts w:cs="Arial"/>
                    </w:rPr>
                    <w:t>7.8</w:t>
                  </w:r>
                  <w:r w:rsidRPr="00637A30">
                    <w:rPr>
                      <w:rFonts w:cs="Arial"/>
                    </w:rPr>
                    <w:t>%</w:t>
                  </w:r>
                </w:p>
              </w:tc>
              <w:tc>
                <w:tcPr>
                  <w:tcW w:w="1884" w:type="pct"/>
                  <w:vAlign w:val="center"/>
                </w:tcPr>
                <w:p w14:paraId="5A2EFF62" w14:textId="77777777" w:rsidR="008D7F61" w:rsidRPr="00DA5526" w:rsidRDefault="008D7F61" w:rsidP="00D51E9C">
                  <w:pPr>
                    <w:rPr>
                      <w:rFonts w:cs="Arial"/>
                      <w:i/>
                      <w:iCs/>
                    </w:rPr>
                  </w:pPr>
                  <w:r>
                    <w:rPr>
                      <w:rFonts w:cs="Arial"/>
                    </w:rPr>
                    <w:t xml:space="preserve">Increase of 0.6% </w:t>
                  </w:r>
                  <w:r>
                    <w:rPr>
                      <w:rFonts w:cs="Arial"/>
                      <w:i/>
                      <w:iCs/>
                    </w:rPr>
                    <w:t>(17.2% in 2024)</w:t>
                  </w:r>
                </w:p>
              </w:tc>
            </w:tr>
            <w:bookmarkEnd w:id="3"/>
          </w:tbl>
          <w:p w14:paraId="2CE8DB9E" w14:textId="77777777" w:rsidR="00D51E9C" w:rsidRPr="00D51E9C" w:rsidRDefault="00D51E9C" w:rsidP="00D51E9C">
            <w:pPr>
              <w:pStyle w:val="ListParagraph"/>
              <w:numPr>
                <w:ilvl w:val="0"/>
                <w:numId w:val="18"/>
              </w:numPr>
              <w:spacing w:before="240" w:after="160" w:line="276" w:lineRule="auto"/>
              <w:jc w:val="both"/>
              <w:rPr>
                <w:rFonts w:cs="Arial"/>
                <w:vanish/>
              </w:rPr>
            </w:pPr>
          </w:p>
          <w:p w14:paraId="75A28B8C" w14:textId="4A154445" w:rsidR="008D7F61" w:rsidRDefault="008D7F61" w:rsidP="00BF0A24">
            <w:pPr>
              <w:pStyle w:val="ListParagraph"/>
              <w:numPr>
                <w:ilvl w:val="1"/>
                <w:numId w:val="18"/>
              </w:numPr>
              <w:spacing w:before="120" w:after="160" w:line="276" w:lineRule="auto"/>
              <w:ind w:left="709"/>
              <w:contextualSpacing w:val="0"/>
              <w:jc w:val="both"/>
              <w:rPr>
                <w:rFonts w:cs="Arial"/>
              </w:rPr>
            </w:pPr>
            <w:r w:rsidRPr="005C5305">
              <w:rPr>
                <w:rFonts w:cs="Arial"/>
              </w:rPr>
              <w:t>The data shows that men earn more than women on both measures. The mean Gender Pay Gap is 26.5%, an increase of 3.2</w:t>
            </w:r>
            <w:r>
              <w:rPr>
                <w:rFonts w:cs="Arial"/>
              </w:rPr>
              <w:t xml:space="preserve">% </w:t>
            </w:r>
            <w:r w:rsidRPr="005C5305">
              <w:rPr>
                <w:rFonts w:cs="Arial"/>
              </w:rPr>
              <w:t>from 2024. The median Gender Pay Gap is 17.8%, which is 0.6</w:t>
            </w:r>
            <w:r>
              <w:rPr>
                <w:rFonts w:cs="Arial"/>
              </w:rPr>
              <w:t xml:space="preserve">% </w:t>
            </w:r>
            <w:r w:rsidRPr="005C5305">
              <w:rPr>
                <w:rFonts w:cs="Arial"/>
              </w:rPr>
              <w:t>higher than the previous year.</w:t>
            </w:r>
          </w:p>
          <w:p w14:paraId="2E15F63C" w14:textId="5FFA4BD3" w:rsidR="008D7F61" w:rsidRPr="008D7F61" w:rsidRDefault="008D7F61" w:rsidP="008650AE">
            <w:pPr>
              <w:pStyle w:val="Heading1"/>
              <w:numPr>
                <w:ilvl w:val="0"/>
                <w:numId w:val="12"/>
              </w:numPr>
              <w:spacing w:after="0" w:line="276" w:lineRule="auto"/>
              <w:ind w:left="709" w:hanging="709"/>
              <w:rPr>
                <w:color w:val="auto"/>
                <w:sz w:val="24"/>
                <w:szCs w:val="24"/>
              </w:rPr>
            </w:pPr>
            <w:r w:rsidRPr="008D7F61">
              <w:rPr>
                <w:color w:val="auto"/>
                <w:sz w:val="24"/>
                <w:szCs w:val="24"/>
              </w:rPr>
              <w:t>Gender Pay Gap - Excluding Medical and Dental Staff</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Look w:val="04A0" w:firstRow="1" w:lastRow="0" w:firstColumn="1" w:lastColumn="0" w:noHBand="0" w:noVBand="1"/>
            </w:tblPr>
            <w:tblGrid>
              <w:gridCol w:w="3236"/>
              <w:gridCol w:w="3088"/>
              <w:gridCol w:w="3824"/>
            </w:tblGrid>
            <w:tr w:rsidR="008D7F61" w:rsidRPr="00637A30" w14:paraId="4EE40DDE" w14:textId="77777777" w:rsidTr="00A54ABD">
              <w:tc>
                <w:tcPr>
                  <w:tcW w:w="1594" w:type="pct"/>
                  <w:shd w:val="clear" w:color="auto" w:fill="0070C0"/>
                  <w:vAlign w:val="center"/>
                </w:tcPr>
                <w:p w14:paraId="1B94175E" w14:textId="77777777" w:rsidR="008D7F61" w:rsidRPr="00D51E9C" w:rsidRDefault="008D7F61" w:rsidP="00D51E9C">
                  <w:pPr>
                    <w:rPr>
                      <w:rFonts w:cs="Arial"/>
                      <w:b/>
                      <w:bCs/>
                      <w:color w:val="FFFFFF" w:themeColor="background1"/>
                    </w:rPr>
                  </w:pPr>
                  <w:bookmarkStart w:id="4" w:name="_Hlk174039639"/>
                  <w:r w:rsidRPr="00D51E9C">
                    <w:rPr>
                      <w:rFonts w:cs="Arial"/>
                      <w:b/>
                      <w:bCs/>
                      <w:color w:val="FFFFFF" w:themeColor="background1"/>
                    </w:rPr>
                    <w:t>Difference in Pay</w:t>
                  </w:r>
                </w:p>
              </w:tc>
              <w:tc>
                <w:tcPr>
                  <w:tcW w:w="1521" w:type="pct"/>
                  <w:shd w:val="clear" w:color="auto" w:fill="0070C0"/>
                  <w:vAlign w:val="center"/>
                </w:tcPr>
                <w:p w14:paraId="1B513423" w14:textId="77777777" w:rsidR="008D7F61" w:rsidRPr="00D51E9C" w:rsidRDefault="008D7F61" w:rsidP="00D51E9C">
                  <w:pPr>
                    <w:rPr>
                      <w:rFonts w:cs="Arial"/>
                      <w:b/>
                      <w:bCs/>
                      <w:color w:val="FFFFFF" w:themeColor="background1"/>
                    </w:rPr>
                  </w:pPr>
                  <w:r w:rsidRPr="00D51E9C">
                    <w:rPr>
                      <w:rFonts w:cs="Arial"/>
                      <w:b/>
                      <w:bCs/>
                      <w:color w:val="FFFFFF" w:themeColor="background1"/>
                    </w:rPr>
                    <w:t>Gender Pay Gap</w:t>
                  </w:r>
                </w:p>
              </w:tc>
              <w:tc>
                <w:tcPr>
                  <w:tcW w:w="1884" w:type="pct"/>
                  <w:shd w:val="clear" w:color="auto" w:fill="0070C0"/>
                  <w:vAlign w:val="center"/>
                </w:tcPr>
                <w:p w14:paraId="1549E508" w14:textId="77777777" w:rsidR="008D7F61" w:rsidRPr="00D51E9C" w:rsidRDefault="008D7F61" w:rsidP="00D51E9C">
                  <w:pPr>
                    <w:rPr>
                      <w:rFonts w:cs="Arial"/>
                      <w:b/>
                      <w:bCs/>
                      <w:color w:val="FFFFFF" w:themeColor="background1"/>
                    </w:rPr>
                  </w:pPr>
                  <w:r w:rsidRPr="00D51E9C">
                    <w:rPr>
                      <w:rFonts w:cs="Arial"/>
                      <w:b/>
                      <w:bCs/>
                      <w:color w:val="FFFFFF" w:themeColor="background1"/>
                    </w:rPr>
                    <w:t>Compared to 2024</w:t>
                  </w:r>
                </w:p>
              </w:tc>
            </w:tr>
            <w:tr w:rsidR="008D7F61" w:rsidRPr="00637A30" w14:paraId="5168FBD8" w14:textId="77777777" w:rsidTr="00A54ABD">
              <w:trPr>
                <w:trHeight w:val="510"/>
              </w:trPr>
              <w:tc>
                <w:tcPr>
                  <w:tcW w:w="1594" w:type="pct"/>
                  <w:vAlign w:val="center"/>
                </w:tcPr>
                <w:p w14:paraId="1DF4CCB3" w14:textId="77777777" w:rsidR="008D7F61" w:rsidRPr="00F77F2F" w:rsidRDefault="008D7F61" w:rsidP="00D51E9C">
                  <w:pPr>
                    <w:rPr>
                      <w:rFonts w:cs="Arial"/>
                    </w:rPr>
                  </w:pPr>
                  <w:r w:rsidRPr="00F77F2F">
                    <w:rPr>
                      <w:rFonts w:cs="Arial"/>
                    </w:rPr>
                    <w:t>Mean hourly pay for men £0.71 higher than women</w:t>
                  </w:r>
                </w:p>
              </w:tc>
              <w:tc>
                <w:tcPr>
                  <w:tcW w:w="1521" w:type="pct"/>
                  <w:vAlign w:val="center"/>
                </w:tcPr>
                <w:p w14:paraId="535DBAB4" w14:textId="77777777" w:rsidR="008D7F61" w:rsidRPr="00120426" w:rsidRDefault="008D7F61" w:rsidP="00D51E9C">
                  <w:pPr>
                    <w:rPr>
                      <w:rFonts w:cs="Arial"/>
                      <w:highlight w:val="yellow"/>
                    </w:rPr>
                  </w:pPr>
                  <w:r w:rsidRPr="00637A30">
                    <w:rPr>
                      <w:rFonts w:cs="Arial"/>
                    </w:rPr>
                    <w:t xml:space="preserve">Gender </w:t>
                  </w:r>
                  <w:r>
                    <w:rPr>
                      <w:rFonts w:cs="Arial"/>
                    </w:rPr>
                    <w:t>P</w:t>
                  </w:r>
                  <w:r w:rsidRPr="00637A30">
                    <w:rPr>
                      <w:rFonts w:cs="Arial"/>
                    </w:rPr>
                    <w:t xml:space="preserve">ay </w:t>
                  </w:r>
                  <w:r>
                    <w:rPr>
                      <w:rFonts w:cs="Arial"/>
                    </w:rPr>
                    <w:t>G</w:t>
                  </w:r>
                  <w:r w:rsidRPr="00637A30">
                    <w:rPr>
                      <w:rFonts w:cs="Arial"/>
                    </w:rPr>
                    <w:t xml:space="preserve">ap </w:t>
                  </w:r>
                  <w:r w:rsidRPr="002635AC">
                    <w:rPr>
                      <w:rFonts w:cs="Arial"/>
                    </w:rPr>
                    <w:t xml:space="preserve">of </w:t>
                  </w:r>
                  <w:r>
                    <w:rPr>
                      <w:rFonts w:cs="Arial"/>
                    </w:rPr>
                    <w:t>3.6</w:t>
                  </w:r>
                  <w:r w:rsidRPr="002635AC">
                    <w:rPr>
                      <w:rFonts w:cs="Arial"/>
                    </w:rPr>
                    <w:t>%</w:t>
                  </w:r>
                </w:p>
              </w:tc>
              <w:tc>
                <w:tcPr>
                  <w:tcW w:w="1884" w:type="pct"/>
                  <w:vAlign w:val="center"/>
                </w:tcPr>
                <w:p w14:paraId="4DD076C3" w14:textId="77777777" w:rsidR="008D7F61" w:rsidRPr="00120426" w:rsidRDefault="008D7F61" w:rsidP="00D51E9C">
                  <w:pPr>
                    <w:rPr>
                      <w:rFonts w:cs="Arial"/>
                      <w:i/>
                      <w:iCs/>
                      <w:highlight w:val="yellow"/>
                    </w:rPr>
                  </w:pPr>
                  <w:r>
                    <w:rPr>
                      <w:rFonts w:cs="Arial"/>
                    </w:rPr>
                    <w:t>Increase</w:t>
                  </w:r>
                  <w:r w:rsidRPr="002635AC">
                    <w:rPr>
                      <w:rFonts w:cs="Arial"/>
                    </w:rPr>
                    <w:t xml:space="preserve"> of </w:t>
                  </w:r>
                  <w:r>
                    <w:rPr>
                      <w:rFonts w:cs="Arial"/>
                    </w:rPr>
                    <w:t>1.28%</w:t>
                  </w:r>
                  <w:r w:rsidRPr="002635AC">
                    <w:rPr>
                      <w:rFonts w:cs="Arial"/>
                    </w:rPr>
                    <w:t xml:space="preserve"> </w:t>
                  </w:r>
                  <w:r w:rsidRPr="0026010C">
                    <w:rPr>
                      <w:rFonts w:cs="Arial"/>
                      <w:i/>
                      <w:iCs/>
                    </w:rPr>
                    <w:t>(0.62% in 2024)</w:t>
                  </w:r>
                </w:p>
              </w:tc>
            </w:tr>
            <w:tr w:rsidR="008D7F61" w:rsidRPr="00637A30" w14:paraId="683428BB" w14:textId="77777777" w:rsidTr="00A54ABD">
              <w:trPr>
                <w:trHeight w:val="510"/>
              </w:trPr>
              <w:tc>
                <w:tcPr>
                  <w:tcW w:w="1594" w:type="pct"/>
                  <w:vAlign w:val="center"/>
                </w:tcPr>
                <w:p w14:paraId="4392619D" w14:textId="77777777" w:rsidR="008D7F61" w:rsidRPr="00F77F2F" w:rsidRDefault="008D7F61" w:rsidP="00D51E9C">
                  <w:pPr>
                    <w:rPr>
                      <w:rFonts w:cs="Arial"/>
                    </w:rPr>
                  </w:pPr>
                  <w:r w:rsidRPr="00F77F2F">
                    <w:rPr>
                      <w:rFonts w:cs="Arial"/>
                    </w:rPr>
                    <w:t xml:space="preserve">Median hourly pay for men </w:t>
                  </w:r>
                  <w:bookmarkStart w:id="5" w:name="_Hlk191479398"/>
                  <w:r w:rsidRPr="00F77F2F">
                    <w:rPr>
                      <w:rFonts w:cs="Arial"/>
                    </w:rPr>
                    <w:t xml:space="preserve">-£0.88 </w:t>
                  </w:r>
                  <w:bookmarkEnd w:id="5"/>
                  <w:r w:rsidRPr="00F77F2F">
                    <w:rPr>
                      <w:rFonts w:cs="Arial"/>
                    </w:rPr>
                    <w:t>higher than women</w:t>
                  </w:r>
                </w:p>
              </w:tc>
              <w:tc>
                <w:tcPr>
                  <w:tcW w:w="1521" w:type="pct"/>
                  <w:vAlign w:val="center"/>
                </w:tcPr>
                <w:p w14:paraId="61B79D33" w14:textId="77777777" w:rsidR="008D7F61" w:rsidRPr="00AF5633" w:rsidRDefault="008D7F61" w:rsidP="00D51E9C">
                  <w:pPr>
                    <w:rPr>
                      <w:rFonts w:cs="Arial"/>
                    </w:rPr>
                  </w:pPr>
                  <w:r w:rsidRPr="00637A30">
                    <w:rPr>
                      <w:rFonts w:cs="Arial"/>
                    </w:rPr>
                    <w:t xml:space="preserve">Gender </w:t>
                  </w:r>
                  <w:r>
                    <w:rPr>
                      <w:rFonts w:cs="Arial"/>
                    </w:rPr>
                    <w:t>P</w:t>
                  </w:r>
                  <w:r w:rsidRPr="00637A30">
                    <w:rPr>
                      <w:rFonts w:cs="Arial"/>
                    </w:rPr>
                    <w:t xml:space="preserve">ay </w:t>
                  </w:r>
                  <w:r>
                    <w:rPr>
                      <w:rFonts w:cs="Arial"/>
                    </w:rPr>
                    <w:t>G</w:t>
                  </w:r>
                  <w:r w:rsidRPr="00637A30">
                    <w:rPr>
                      <w:rFonts w:cs="Arial"/>
                    </w:rPr>
                    <w:t xml:space="preserve">ap </w:t>
                  </w:r>
                  <w:r w:rsidRPr="00AF5633">
                    <w:rPr>
                      <w:rFonts w:cs="Arial"/>
                    </w:rPr>
                    <w:t>of -5.</w:t>
                  </w:r>
                  <w:r>
                    <w:rPr>
                      <w:rFonts w:cs="Arial"/>
                    </w:rPr>
                    <w:t>0</w:t>
                  </w:r>
                  <w:r w:rsidRPr="00AF5633">
                    <w:rPr>
                      <w:rFonts w:cs="Arial"/>
                    </w:rPr>
                    <w:t>%</w:t>
                  </w:r>
                </w:p>
              </w:tc>
              <w:tc>
                <w:tcPr>
                  <w:tcW w:w="1884" w:type="pct"/>
                  <w:vAlign w:val="center"/>
                </w:tcPr>
                <w:p w14:paraId="5C168D36" w14:textId="77777777" w:rsidR="008D7F61" w:rsidRPr="00AF5633" w:rsidRDefault="008D7F61" w:rsidP="00D51E9C">
                  <w:pPr>
                    <w:rPr>
                      <w:rFonts w:cs="Arial"/>
                      <w:i/>
                      <w:iCs/>
                    </w:rPr>
                  </w:pPr>
                  <w:r w:rsidRPr="00AF5633">
                    <w:rPr>
                      <w:rFonts w:cs="Arial"/>
                    </w:rPr>
                    <w:t xml:space="preserve">Decrease of </w:t>
                  </w:r>
                  <w:r>
                    <w:rPr>
                      <w:rFonts w:cs="Arial"/>
                    </w:rPr>
                    <w:t>0.3</w:t>
                  </w:r>
                  <w:r w:rsidRPr="00AF5633">
                    <w:rPr>
                      <w:rFonts w:cs="Arial"/>
                    </w:rPr>
                    <w:t xml:space="preserve">% </w:t>
                  </w:r>
                  <w:r w:rsidRPr="00AF5633">
                    <w:rPr>
                      <w:rFonts w:cs="Arial"/>
                      <w:i/>
                      <w:iCs/>
                    </w:rPr>
                    <w:t>(-</w:t>
                  </w:r>
                  <w:r>
                    <w:rPr>
                      <w:rFonts w:cs="Arial"/>
                      <w:i/>
                      <w:iCs/>
                    </w:rPr>
                    <w:t>5.03</w:t>
                  </w:r>
                  <w:r w:rsidRPr="00AF5633">
                    <w:rPr>
                      <w:rFonts w:cs="Arial"/>
                      <w:i/>
                      <w:iCs/>
                    </w:rPr>
                    <w:t>% in 202</w:t>
                  </w:r>
                  <w:r>
                    <w:rPr>
                      <w:rFonts w:cs="Arial"/>
                      <w:i/>
                      <w:iCs/>
                    </w:rPr>
                    <w:t>4</w:t>
                  </w:r>
                  <w:r w:rsidRPr="00AF5633">
                    <w:rPr>
                      <w:rFonts w:cs="Arial"/>
                      <w:i/>
                      <w:iCs/>
                    </w:rPr>
                    <w:t>)</w:t>
                  </w:r>
                </w:p>
              </w:tc>
            </w:tr>
            <w:bookmarkEnd w:id="4"/>
          </w:tbl>
          <w:p w14:paraId="1DD3CB10" w14:textId="77777777" w:rsidR="00D334A9" w:rsidRPr="00D334A9" w:rsidRDefault="00D334A9" w:rsidP="00D334A9">
            <w:pPr>
              <w:pStyle w:val="ListParagraph"/>
              <w:numPr>
                <w:ilvl w:val="0"/>
                <w:numId w:val="18"/>
              </w:numPr>
              <w:spacing w:before="120" w:after="120" w:line="276" w:lineRule="auto"/>
              <w:contextualSpacing w:val="0"/>
              <w:jc w:val="both"/>
              <w:rPr>
                <w:rFonts w:cs="Arial"/>
                <w:vanish/>
              </w:rPr>
            </w:pPr>
          </w:p>
          <w:p w14:paraId="07DAAF97" w14:textId="29FB03F6" w:rsidR="00D51E9C" w:rsidRPr="005C42CC" w:rsidRDefault="008D7F61" w:rsidP="00BF0A24">
            <w:pPr>
              <w:pStyle w:val="ListParagraph"/>
              <w:numPr>
                <w:ilvl w:val="1"/>
                <w:numId w:val="18"/>
              </w:numPr>
              <w:spacing w:before="120" w:after="120" w:line="276" w:lineRule="auto"/>
              <w:ind w:left="709"/>
              <w:contextualSpacing w:val="0"/>
              <w:jc w:val="both"/>
            </w:pPr>
            <w:r w:rsidRPr="005C42CC">
              <w:rPr>
                <w:rFonts w:cs="Arial"/>
              </w:rPr>
              <w:t>Among non</w:t>
            </w:r>
            <w:r w:rsidRPr="005C42CC">
              <w:rPr>
                <w:rFonts w:cs="Arial"/>
              </w:rPr>
              <w:noBreakHyphen/>
              <w:t>medical staff, the mean pay gap is 3.6% in favour of men, an increase from last year. The median pay gap is 5.0% in favour of women, showing a slight decrease compared to 2024</w:t>
            </w:r>
            <w:r>
              <w:rPr>
                <w:rFonts w:cs="Arial"/>
              </w:rPr>
              <w:t>.</w:t>
            </w:r>
          </w:p>
          <w:p w14:paraId="3819C041" w14:textId="77777777" w:rsidR="008D7F61" w:rsidRPr="005C42CC" w:rsidRDefault="008D7F61" w:rsidP="00BF0A24">
            <w:pPr>
              <w:pStyle w:val="Heading1"/>
              <w:numPr>
                <w:ilvl w:val="0"/>
                <w:numId w:val="12"/>
              </w:numPr>
              <w:spacing w:after="0" w:line="276" w:lineRule="auto"/>
              <w:ind w:left="709" w:hanging="709"/>
              <w:rPr>
                <w:color w:val="auto"/>
                <w:sz w:val="24"/>
                <w:szCs w:val="24"/>
              </w:rPr>
            </w:pPr>
            <w:r w:rsidRPr="005C42CC">
              <w:rPr>
                <w:color w:val="auto"/>
                <w:sz w:val="24"/>
                <w:szCs w:val="24"/>
              </w:rPr>
              <w:t>Pay Quartiles</w:t>
            </w:r>
          </w:p>
          <w:p w14:paraId="185BE8EF" w14:textId="77777777" w:rsidR="00D334A9" w:rsidRPr="00D334A9" w:rsidRDefault="00D334A9" w:rsidP="00BF0A24">
            <w:pPr>
              <w:pStyle w:val="ListParagraph"/>
              <w:numPr>
                <w:ilvl w:val="0"/>
                <w:numId w:val="18"/>
              </w:numPr>
              <w:spacing w:before="120" w:after="120" w:line="276" w:lineRule="auto"/>
              <w:contextualSpacing w:val="0"/>
              <w:jc w:val="both"/>
              <w:rPr>
                <w:rFonts w:cs="Arial"/>
                <w:vanish/>
              </w:rPr>
            </w:pPr>
          </w:p>
          <w:p w14:paraId="49C2C422" w14:textId="621F1F0E" w:rsidR="008D7F61" w:rsidRPr="00D334A9" w:rsidRDefault="008D7F61" w:rsidP="00BF0A24">
            <w:pPr>
              <w:pStyle w:val="ListParagraph"/>
              <w:numPr>
                <w:ilvl w:val="1"/>
                <w:numId w:val="18"/>
              </w:numPr>
              <w:spacing w:after="120" w:line="276" w:lineRule="auto"/>
              <w:ind w:left="709"/>
              <w:contextualSpacing w:val="0"/>
              <w:jc w:val="both"/>
              <w:rPr>
                <w:rFonts w:cs="Arial"/>
              </w:rPr>
            </w:pPr>
            <w:r>
              <w:rPr>
                <w:rFonts w:cs="Arial"/>
              </w:rPr>
              <w:t>We are required to split the workforce into quartiles (blocks of 25%) split by pay and show proportions of men and women.</w:t>
            </w:r>
          </w:p>
          <w:p w14:paraId="18ACB1BC" w14:textId="1F35783A" w:rsidR="008D7F61" w:rsidRPr="00D334A9" w:rsidRDefault="00D334A9" w:rsidP="008650AE">
            <w:pPr>
              <w:pStyle w:val="ListParagraph"/>
              <w:numPr>
                <w:ilvl w:val="1"/>
                <w:numId w:val="18"/>
              </w:numPr>
              <w:spacing w:before="120" w:line="276" w:lineRule="auto"/>
              <w:ind w:left="709"/>
              <w:contextualSpacing w:val="0"/>
              <w:jc w:val="both"/>
              <w:rPr>
                <w:b/>
                <w:bCs/>
              </w:rPr>
            </w:pPr>
            <w:r w:rsidRPr="00B91DA5">
              <w:rPr>
                <w:noProof/>
                <w:shd w:val="clear" w:color="auto" w:fill="0070C0"/>
              </w:rPr>
              <w:drawing>
                <wp:anchor distT="0" distB="0" distL="114300" distR="114300" simplePos="0" relativeHeight="251659264" behindDoc="0" locked="0" layoutInCell="1" allowOverlap="1" wp14:anchorId="3DEE5C0A" wp14:editId="2B353022">
                  <wp:simplePos x="0" y="0"/>
                  <wp:positionH relativeFrom="margin">
                    <wp:posOffset>1905</wp:posOffset>
                  </wp:positionH>
                  <wp:positionV relativeFrom="paragraph">
                    <wp:posOffset>205105</wp:posOffset>
                  </wp:positionV>
                  <wp:extent cx="6362700" cy="1781175"/>
                  <wp:effectExtent l="0" t="0" r="0" b="0"/>
                  <wp:wrapTopAndBottom/>
                  <wp:docPr id="1001148898" name="Chart 1">
                    <a:extLst xmlns:a="http://schemas.openxmlformats.org/drawingml/2006/main">
                      <a:ext uri="{FF2B5EF4-FFF2-40B4-BE49-F238E27FC236}">
                        <a16:creationId xmlns:a16="http://schemas.microsoft.com/office/drawing/2014/main" id="{B11BAF83-7E78-47E2-802E-9984FF338E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8D7F61" w:rsidRPr="00D334A9">
              <w:rPr>
                <w:b/>
                <w:bCs/>
              </w:rPr>
              <w:t>Percentage of Gender in Pay Quartiles – All Staff</w:t>
            </w:r>
          </w:p>
          <w:p w14:paraId="342B2C79" w14:textId="4BF7D80B" w:rsidR="008D7F61" w:rsidRDefault="008D7F61" w:rsidP="00D334A9">
            <w:pPr>
              <w:pStyle w:val="ListParagraph"/>
              <w:numPr>
                <w:ilvl w:val="1"/>
                <w:numId w:val="18"/>
              </w:numPr>
              <w:spacing w:after="120" w:line="276" w:lineRule="auto"/>
              <w:ind w:left="709"/>
              <w:contextualSpacing w:val="0"/>
              <w:jc w:val="both"/>
              <w:rPr>
                <w:rFonts w:cs="Arial"/>
              </w:rPr>
            </w:pPr>
            <w:r w:rsidRPr="005C5305">
              <w:rPr>
                <w:rFonts w:cs="Arial"/>
              </w:rPr>
              <w:t xml:space="preserve">The chart shows that women make up </w:t>
            </w:r>
            <w:proofErr w:type="gramStart"/>
            <w:r>
              <w:rPr>
                <w:rFonts w:cs="Arial"/>
              </w:rPr>
              <w:t>the majority of</w:t>
            </w:r>
            <w:proofErr w:type="gramEnd"/>
            <w:r>
              <w:rPr>
                <w:rFonts w:cs="Arial"/>
              </w:rPr>
              <w:t xml:space="preserve"> </w:t>
            </w:r>
            <w:r w:rsidRPr="005C5305">
              <w:rPr>
                <w:rFonts w:cs="Arial"/>
              </w:rPr>
              <w:t xml:space="preserve">staff in all pay quartiles. Representation is highest in the lower and middle quartiles, where women account for more than 82% of staff. In the upper quartile, the gender </w:t>
            </w:r>
            <w:r>
              <w:rPr>
                <w:rFonts w:cs="Arial"/>
              </w:rPr>
              <w:t>imbalance decreases</w:t>
            </w:r>
            <w:r w:rsidRPr="005C5305">
              <w:rPr>
                <w:rFonts w:cs="Arial"/>
              </w:rPr>
              <w:t>, with women making up around 63% and men 37%. This pattern indicates that men are proportionally more represented in higher</w:t>
            </w:r>
            <w:r w:rsidRPr="005C5305">
              <w:rPr>
                <w:rFonts w:cs="Arial"/>
              </w:rPr>
              <w:noBreakHyphen/>
              <w:t>paid roles than in lower</w:t>
            </w:r>
            <w:r w:rsidRPr="005C5305">
              <w:rPr>
                <w:rFonts w:cs="Arial"/>
              </w:rPr>
              <w:noBreakHyphen/>
              <w:t>paid</w:t>
            </w:r>
            <w:r>
              <w:rPr>
                <w:rFonts w:cs="Arial"/>
              </w:rPr>
              <w:t xml:space="preserve"> </w:t>
            </w:r>
            <w:r w:rsidRPr="005C5305">
              <w:rPr>
                <w:rFonts w:cs="Arial"/>
              </w:rPr>
              <w:t>ones.</w:t>
            </w:r>
          </w:p>
          <w:p w14:paraId="7755FA1E" w14:textId="7E27FB0E" w:rsidR="008D7F61" w:rsidRPr="00D334A9" w:rsidRDefault="00D334A9" w:rsidP="00D334A9">
            <w:pPr>
              <w:pStyle w:val="ListParagraph"/>
              <w:numPr>
                <w:ilvl w:val="1"/>
                <w:numId w:val="18"/>
              </w:numPr>
              <w:spacing w:before="120" w:line="276" w:lineRule="auto"/>
              <w:ind w:left="709"/>
              <w:contextualSpacing w:val="0"/>
              <w:jc w:val="both"/>
              <w:rPr>
                <w:b/>
                <w:bCs/>
              </w:rPr>
            </w:pPr>
            <w:r w:rsidRPr="00D334A9">
              <w:rPr>
                <w:b/>
                <w:bCs/>
                <w:noProof/>
              </w:rPr>
              <w:drawing>
                <wp:anchor distT="0" distB="0" distL="114300" distR="114300" simplePos="0" relativeHeight="251660288" behindDoc="0" locked="0" layoutInCell="1" allowOverlap="1" wp14:anchorId="4D6FB235" wp14:editId="6CB2761F">
                  <wp:simplePos x="0" y="0"/>
                  <wp:positionH relativeFrom="margin">
                    <wp:posOffset>-26670</wp:posOffset>
                  </wp:positionH>
                  <wp:positionV relativeFrom="paragraph">
                    <wp:posOffset>192405</wp:posOffset>
                  </wp:positionV>
                  <wp:extent cx="6400800" cy="1628775"/>
                  <wp:effectExtent l="0" t="0" r="0" b="0"/>
                  <wp:wrapTopAndBottom/>
                  <wp:docPr id="1217943981" name="Chart 1">
                    <a:extLst xmlns:a="http://schemas.openxmlformats.org/drawingml/2006/main">
                      <a:ext uri="{FF2B5EF4-FFF2-40B4-BE49-F238E27FC236}">
                        <a16:creationId xmlns:a16="http://schemas.microsoft.com/office/drawing/2014/main" id="{1A635F93-D7AD-442B-B5EA-4186884A99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8D7F61" w:rsidRPr="00D334A9">
              <w:rPr>
                <w:b/>
                <w:bCs/>
              </w:rPr>
              <w:t>Percentage of Gender in Pay Quartiles - No Medical Staff</w:t>
            </w:r>
          </w:p>
          <w:p w14:paraId="5AED25FC" w14:textId="72AFDD4B" w:rsidR="00D334A9" w:rsidRDefault="008D7F61" w:rsidP="008969EB">
            <w:pPr>
              <w:pStyle w:val="ListParagraph"/>
              <w:numPr>
                <w:ilvl w:val="1"/>
                <w:numId w:val="18"/>
              </w:numPr>
              <w:spacing w:after="120" w:line="276" w:lineRule="auto"/>
              <w:ind w:left="709"/>
              <w:contextualSpacing w:val="0"/>
              <w:jc w:val="both"/>
            </w:pPr>
            <w:r w:rsidRPr="00193872">
              <w:rPr>
                <w:rFonts w:cs="Arial"/>
              </w:rPr>
              <w:t>The chart shows that women make up a strong majority of non</w:t>
            </w:r>
            <w:r w:rsidRPr="00193872">
              <w:rPr>
                <w:rFonts w:cs="Arial"/>
              </w:rPr>
              <w:noBreakHyphen/>
              <w:t xml:space="preserve">medical staff in every pay quartile. Across all four quartiles, women consistently represent more than 82% of staff. </w:t>
            </w:r>
            <w:r w:rsidRPr="00193872">
              <w:rPr>
                <w:rFonts w:cs="Arial"/>
              </w:rPr>
              <w:lastRenderedPageBreak/>
              <w:t>This indicates that the gender distribution is broadly similar at all pay levels for non</w:t>
            </w:r>
            <w:r w:rsidRPr="00193872">
              <w:rPr>
                <w:rFonts w:cs="Arial"/>
              </w:rPr>
              <w:noBreakHyphen/>
              <w:t>medical roles, with men making up a much smaller proportion throughout.</w:t>
            </w:r>
          </w:p>
          <w:p w14:paraId="12DB52EA" w14:textId="77777777" w:rsidR="00D334A9" w:rsidRDefault="00D334A9" w:rsidP="008D7F61"/>
          <w:p w14:paraId="5F772E93" w14:textId="090B966F" w:rsidR="008D7F61" w:rsidRPr="008D7F61" w:rsidRDefault="00D334A9" w:rsidP="00D334A9">
            <w:pPr>
              <w:pStyle w:val="ListParagraph"/>
              <w:numPr>
                <w:ilvl w:val="1"/>
                <w:numId w:val="18"/>
              </w:numPr>
              <w:spacing w:before="120" w:after="120" w:line="276" w:lineRule="auto"/>
              <w:ind w:left="709"/>
              <w:contextualSpacing w:val="0"/>
              <w:jc w:val="both"/>
              <w:rPr>
                <w:rFonts w:eastAsia="Arial" w:cs="Arial"/>
                <w:b/>
                <w:bCs/>
              </w:rPr>
            </w:pPr>
            <w:r>
              <w:rPr>
                <w:noProof/>
              </w:rPr>
              <w:drawing>
                <wp:anchor distT="0" distB="0" distL="114300" distR="114300" simplePos="0" relativeHeight="251661312" behindDoc="0" locked="0" layoutInCell="1" allowOverlap="1" wp14:anchorId="1A69998C" wp14:editId="3104D1D5">
                  <wp:simplePos x="0" y="0"/>
                  <wp:positionH relativeFrom="margin">
                    <wp:posOffset>-17145</wp:posOffset>
                  </wp:positionH>
                  <wp:positionV relativeFrom="paragraph">
                    <wp:posOffset>294005</wp:posOffset>
                  </wp:positionV>
                  <wp:extent cx="6429375" cy="1647825"/>
                  <wp:effectExtent l="0" t="0" r="0" b="0"/>
                  <wp:wrapTopAndBottom/>
                  <wp:docPr id="98649245" name="Chart 1">
                    <a:extLst xmlns:a="http://schemas.openxmlformats.org/drawingml/2006/main">
                      <a:ext uri="{FF2B5EF4-FFF2-40B4-BE49-F238E27FC236}">
                        <a16:creationId xmlns:a16="http://schemas.microsoft.com/office/drawing/2014/main" id="{EB096C12-86FB-4639-A599-05DE1EB25D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8D7F61" w:rsidRPr="00D334A9">
              <w:rPr>
                <w:b/>
                <w:bCs/>
              </w:rPr>
              <w:t>Percentage</w:t>
            </w:r>
            <w:r w:rsidR="008D7F61" w:rsidRPr="008D7F61">
              <w:rPr>
                <w:rFonts w:eastAsia="Arial" w:cs="Arial"/>
                <w:b/>
                <w:bCs/>
              </w:rPr>
              <w:t xml:space="preserve"> of Gender in Pay Quartiles - Medical Staff Only</w:t>
            </w:r>
          </w:p>
          <w:p w14:paraId="7A42972A" w14:textId="5239A8BF" w:rsidR="008D7F61" w:rsidRPr="005C5305" w:rsidRDefault="008D7F61" w:rsidP="00BF0A24">
            <w:pPr>
              <w:pStyle w:val="ListParagraph"/>
              <w:numPr>
                <w:ilvl w:val="1"/>
                <w:numId w:val="18"/>
              </w:numPr>
              <w:spacing w:after="120" w:line="276" w:lineRule="auto"/>
              <w:ind w:left="709"/>
              <w:contextualSpacing w:val="0"/>
              <w:jc w:val="both"/>
              <w:rPr>
                <w:noProof/>
              </w:rPr>
            </w:pPr>
            <w:r w:rsidRPr="00A54ABD">
              <w:rPr>
                <w:rFonts w:cs="Arial"/>
              </w:rPr>
              <w:t>Across</w:t>
            </w:r>
            <w:r w:rsidRPr="005C5305">
              <w:rPr>
                <w:noProof/>
              </w:rPr>
              <w:t xml:space="preserve"> all medical staff pay quartiles</w:t>
            </w:r>
            <w:r>
              <w:rPr>
                <w:noProof/>
              </w:rPr>
              <w:t xml:space="preserve"> apart from the Upper Quartile</w:t>
            </w:r>
            <w:r w:rsidRPr="005C5305">
              <w:rPr>
                <w:noProof/>
              </w:rPr>
              <w:t xml:space="preserve">, </w:t>
            </w:r>
            <w:r>
              <w:rPr>
                <w:noProof/>
              </w:rPr>
              <w:t>women</w:t>
            </w:r>
            <w:r w:rsidRPr="005C5305">
              <w:rPr>
                <w:noProof/>
              </w:rPr>
              <w:t xml:space="preserve"> make up the majority. </w:t>
            </w:r>
            <w:r>
              <w:rPr>
                <w:noProof/>
              </w:rPr>
              <w:t>Female</w:t>
            </w:r>
            <w:r w:rsidRPr="005C5305">
              <w:rPr>
                <w:noProof/>
              </w:rPr>
              <w:t xml:space="preserve"> representation increases toward the lower quartiles, w</w:t>
            </w:r>
            <w:r>
              <w:rPr>
                <w:noProof/>
              </w:rPr>
              <w:t>ith</w:t>
            </w:r>
            <w:r w:rsidRPr="005C5305">
              <w:rPr>
                <w:noProof/>
              </w:rPr>
              <w:t xml:space="preserve"> </w:t>
            </w:r>
            <w:r>
              <w:rPr>
                <w:noProof/>
              </w:rPr>
              <w:t>women</w:t>
            </w:r>
            <w:r w:rsidRPr="005C5305">
              <w:rPr>
                <w:noProof/>
              </w:rPr>
              <w:t xml:space="preserve"> account</w:t>
            </w:r>
            <w:r>
              <w:rPr>
                <w:noProof/>
              </w:rPr>
              <w:t>ing</w:t>
            </w:r>
            <w:r w:rsidRPr="005C5305">
              <w:rPr>
                <w:noProof/>
              </w:rPr>
              <w:t xml:space="preserve"> for around 63% in the lowest quartile. </w:t>
            </w:r>
            <w:r>
              <w:rPr>
                <w:noProof/>
              </w:rPr>
              <w:t>In t</w:t>
            </w:r>
            <w:r w:rsidRPr="005C5305">
              <w:rPr>
                <w:noProof/>
              </w:rPr>
              <w:t xml:space="preserve">he upper quartile </w:t>
            </w:r>
            <w:r>
              <w:rPr>
                <w:noProof/>
              </w:rPr>
              <w:t>only</w:t>
            </w:r>
            <w:r w:rsidRPr="005C5305">
              <w:rPr>
                <w:noProof/>
              </w:rPr>
              <w:t xml:space="preserve"> </w:t>
            </w:r>
            <w:r>
              <w:rPr>
                <w:noProof/>
              </w:rPr>
              <w:t xml:space="preserve">males outnumber females, with 61% male and 39% female. </w:t>
            </w:r>
            <w:r w:rsidRPr="005C5305">
              <w:rPr>
                <w:noProof/>
              </w:rPr>
              <w:t xml:space="preserve"> </w:t>
            </w:r>
          </w:p>
          <w:p w14:paraId="1CC1A8BE" w14:textId="77777777" w:rsidR="008D7F61" w:rsidRPr="00DF1E31" w:rsidRDefault="008D7F61" w:rsidP="00BF0A24">
            <w:pPr>
              <w:pStyle w:val="Heading1"/>
              <w:numPr>
                <w:ilvl w:val="0"/>
                <w:numId w:val="12"/>
              </w:numPr>
              <w:spacing w:after="0" w:line="276" w:lineRule="auto"/>
              <w:ind w:left="709" w:hanging="709"/>
              <w:rPr>
                <w:color w:val="auto"/>
                <w:sz w:val="24"/>
                <w:szCs w:val="24"/>
              </w:rPr>
            </w:pPr>
            <w:r w:rsidRPr="00DF1E31">
              <w:rPr>
                <w:color w:val="auto"/>
                <w:sz w:val="24"/>
                <w:szCs w:val="24"/>
              </w:rPr>
              <w:t xml:space="preserve">Bonus Payments </w:t>
            </w:r>
          </w:p>
          <w:p w14:paraId="220C075F" w14:textId="77777777" w:rsidR="00D334A9" w:rsidRPr="00D334A9" w:rsidRDefault="00D334A9" w:rsidP="00BF0A24">
            <w:pPr>
              <w:pStyle w:val="ListParagraph"/>
              <w:numPr>
                <w:ilvl w:val="0"/>
                <w:numId w:val="18"/>
              </w:numPr>
              <w:spacing w:before="120" w:after="120" w:line="276" w:lineRule="auto"/>
              <w:contextualSpacing w:val="0"/>
              <w:jc w:val="both"/>
              <w:rPr>
                <w:vanish/>
              </w:rPr>
            </w:pPr>
            <w:bookmarkStart w:id="6" w:name="_Hlk196830171"/>
          </w:p>
          <w:p w14:paraId="4C732F7B" w14:textId="6656912B" w:rsidR="008D7F61" w:rsidRDefault="008D7F61" w:rsidP="00BF0A24">
            <w:pPr>
              <w:pStyle w:val="ListParagraph"/>
              <w:numPr>
                <w:ilvl w:val="1"/>
                <w:numId w:val="18"/>
              </w:numPr>
              <w:spacing w:before="120" w:after="120" w:line="276" w:lineRule="auto"/>
              <w:ind w:left="709"/>
              <w:jc w:val="both"/>
            </w:pPr>
            <w:r w:rsidRPr="00C35226">
              <w:t>The Trust operated an annual Local Clinical Excellence Award (LCEA) round for eligible consultants.  This recognises and rewards individuals who demonstrate achievements in developing and delivering high quality patient care over and above the standard expected of their role, with a commitment to the continuous improvement of the NHS. However, this was stopped in 2020 and the budget for CEAs was split equally between substantive consultants. Of note, this was not done pro rata – less than fulltime staff received the same amount as full time staff. Local CEAs were abolished as part of the pay negotiations resulting in a new consultant contract. There are fewer than 10 consultants in the Trust who receive a national CEA, but these awards are very large and still significantly contribute to the gender pay gap.</w:t>
            </w:r>
            <w:bookmarkEnd w:id="6"/>
          </w:p>
          <w:p w14:paraId="79F14CD5" w14:textId="77777777" w:rsidR="008D7F61" w:rsidRPr="000036B6" w:rsidRDefault="008D7F61" w:rsidP="00BF0A24">
            <w:pPr>
              <w:pStyle w:val="ListParagraph"/>
              <w:numPr>
                <w:ilvl w:val="1"/>
                <w:numId w:val="18"/>
              </w:numPr>
              <w:spacing w:before="120" w:line="276" w:lineRule="auto"/>
              <w:ind w:left="709"/>
              <w:contextualSpacing w:val="0"/>
              <w:jc w:val="both"/>
            </w:pPr>
            <w:r w:rsidRPr="000B0135">
              <w:rPr>
                <w:rFonts w:cs="Arial"/>
              </w:rPr>
              <w:t xml:space="preserve">In </w:t>
            </w:r>
            <w:r w:rsidRPr="00D334A9">
              <w:t xml:space="preserve">2025, 163 bonus payments were made to Medical and Dental staff. 111 (68%) of these were awarded to men and 52 (32%) awarded to women. </w:t>
            </w:r>
          </w:p>
          <w:p w14:paraId="391D8EB3" w14:textId="77777777" w:rsidR="008D7F61" w:rsidRPr="000036B6" w:rsidRDefault="008D7F61" w:rsidP="00BF0A24">
            <w:pPr>
              <w:pStyle w:val="ListParagraph"/>
              <w:numPr>
                <w:ilvl w:val="1"/>
                <w:numId w:val="18"/>
              </w:numPr>
              <w:spacing w:line="276" w:lineRule="auto"/>
              <w:ind w:left="709"/>
              <w:contextualSpacing w:val="0"/>
              <w:jc w:val="both"/>
            </w:pPr>
            <w:r w:rsidRPr="00D334A9">
              <w:t>Mean Bonus Pay Gap: Male consultants earned an average bonus of £13,080.83 compared to £7,389.36 for women – a 43.5% pay gap.</w:t>
            </w:r>
          </w:p>
          <w:p w14:paraId="3DF844AA" w14:textId="77777777" w:rsidR="008D7F61" w:rsidRPr="000036B6" w:rsidRDefault="008D7F61" w:rsidP="00BF0A24">
            <w:pPr>
              <w:pStyle w:val="ListParagraph"/>
              <w:numPr>
                <w:ilvl w:val="1"/>
                <w:numId w:val="18"/>
              </w:numPr>
              <w:spacing w:after="120" w:line="276" w:lineRule="auto"/>
              <w:ind w:left="709"/>
              <w:contextualSpacing w:val="0"/>
              <w:jc w:val="both"/>
            </w:pPr>
            <w:r w:rsidRPr="00D334A9">
              <w:t>Median</w:t>
            </w:r>
            <w:r w:rsidRPr="000036B6">
              <w:rPr>
                <w:rFonts w:cs="Arial"/>
              </w:rPr>
              <w:t xml:space="preserve"> Bonus Pay Gap: The median Bonus for men was £9,048.00, and for women was £3,015.97, which gives a 66.7% pay gap. </w:t>
            </w:r>
          </w:p>
          <w:p w14:paraId="786F0D37" w14:textId="77777777" w:rsidR="008D7F61" w:rsidRPr="00DF1E31" w:rsidRDefault="008D7F61" w:rsidP="00BF0A24">
            <w:pPr>
              <w:pStyle w:val="Heading1"/>
              <w:numPr>
                <w:ilvl w:val="0"/>
                <w:numId w:val="12"/>
              </w:numPr>
              <w:spacing w:after="0" w:line="276" w:lineRule="auto"/>
              <w:ind w:left="709" w:hanging="709"/>
              <w:rPr>
                <w:color w:val="auto"/>
                <w:sz w:val="24"/>
                <w:szCs w:val="24"/>
              </w:rPr>
            </w:pPr>
            <w:r w:rsidRPr="00DF1E31">
              <w:rPr>
                <w:color w:val="auto"/>
                <w:sz w:val="24"/>
                <w:szCs w:val="24"/>
              </w:rPr>
              <w:t>Gender Pay Gap Conclusion</w:t>
            </w:r>
          </w:p>
          <w:p w14:paraId="1A46B446" w14:textId="77777777" w:rsidR="00A54ABD" w:rsidRPr="00A54ABD" w:rsidRDefault="00A54ABD" w:rsidP="00BF0A24">
            <w:pPr>
              <w:pStyle w:val="ListParagraph"/>
              <w:numPr>
                <w:ilvl w:val="0"/>
                <w:numId w:val="18"/>
              </w:numPr>
              <w:spacing w:after="120" w:line="276" w:lineRule="auto"/>
              <w:contextualSpacing w:val="0"/>
              <w:jc w:val="both"/>
              <w:rPr>
                <w:vanish/>
              </w:rPr>
            </w:pPr>
          </w:p>
          <w:p w14:paraId="575AE08E" w14:textId="2C7EDF3B" w:rsidR="008D7F61" w:rsidRDefault="008D7F61" w:rsidP="00BF0A24">
            <w:pPr>
              <w:pStyle w:val="ListParagraph"/>
              <w:numPr>
                <w:ilvl w:val="1"/>
                <w:numId w:val="18"/>
              </w:numPr>
              <w:spacing w:line="276" w:lineRule="auto"/>
              <w:ind w:left="709"/>
              <w:contextualSpacing w:val="0"/>
              <w:jc w:val="both"/>
            </w:pPr>
            <w:r>
              <w:t>In 2025, the Trust’s Gender Pay Gap is 26.5% in favour of men, an increase from 23.3% in 2024. Reducing this gap remains a priority, and we recognise that progress will take sustained, long-term action.</w:t>
            </w:r>
          </w:p>
          <w:p w14:paraId="54657EE0" w14:textId="77777777" w:rsidR="008D7F61" w:rsidRDefault="008D7F61" w:rsidP="00BF0A24">
            <w:pPr>
              <w:pStyle w:val="ListParagraph"/>
              <w:numPr>
                <w:ilvl w:val="1"/>
                <w:numId w:val="18"/>
              </w:numPr>
              <w:spacing w:line="276" w:lineRule="auto"/>
              <w:ind w:left="709"/>
              <w:contextualSpacing w:val="0"/>
              <w:jc w:val="both"/>
            </w:pPr>
            <w:r>
              <w:t xml:space="preserve">Women make up 78.1% of the workforce, reflecting wider NHS trends. However, men and women are not evenly represented across pay bands. Women are more likely to work in lower-paid roles, while men are often found in higher-paid positions. This distribution is a key driver of the Gender Pay Gap. </w:t>
            </w:r>
          </w:p>
          <w:p w14:paraId="54C148AA" w14:textId="77777777" w:rsidR="008D7F61" w:rsidRDefault="008D7F61" w:rsidP="00BF0A24">
            <w:pPr>
              <w:pStyle w:val="ListParagraph"/>
              <w:numPr>
                <w:ilvl w:val="1"/>
                <w:numId w:val="18"/>
              </w:numPr>
              <w:spacing w:after="240" w:line="276" w:lineRule="auto"/>
              <w:ind w:left="709"/>
              <w:contextualSpacing w:val="0"/>
              <w:jc w:val="both"/>
            </w:pPr>
            <w:r>
              <w:t xml:space="preserve">Women may also experience barriers such as career breaks, part-time working, and caring responsibilities. To address these issues, the Trust is committed to improving access to </w:t>
            </w:r>
            <w:r>
              <w:lastRenderedPageBreak/>
              <w:t xml:space="preserve">development, progression and leadership opportunities, ensuring that women are supported to move into higher-paid roles. </w:t>
            </w:r>
          </w:p>
          <w:p w14:paraId="160D942D" w14:textId="77777777" w:rsidR="008D7F61" w:rsidRDefault="008D7F61" w:rsidP="00A54ABD">
            <w:pPr>
              <w:pStyle w:val="Heading1"/>
              <w:spacing w:after="120"/>
              <w:rPr>
                <w:color w:val="auto"/>
                <w:sz w:val="24"/>
                <w:szCs w:val="24"/>
                <w:u w:val="single"/>
              </w:rPr>
            </w:pPr>
            <w:r w:rsidRPr="00327A75">
              <w:rPr>
                <w:color w:val="auto"/>
                <w:sz w:val="24"/>
                <w:szCs w:val="24"/>
                <w:u w:val="single"/>
              </w:rPr>
              <w:t>Gloucestershire Hospitals Ethnicity Minority Pay Gap 2025</w:t>
            </w:r>
          </w:p>
          <w:p w14:paraId="6988507E" w14:textId="77777777" w:rsidR="00A54ABD" w:rsidRPr="00A54ABD" w:rsidRDefault="00A54ABD" w:rsidP="00A54ABD">
            <w:pPr>
              <w:pStyle w:val="ListParagraph"/>
              <w:numPr>
                <w:ilvl w:val="0"/>
                <w:numId w:val="18"/>
              </w:numPr>
              <w:spacing w:after="120" w:line="276" w:lineRule="auto"/>
              <w:contextualSpacing w:val="0"/>
              <w:jc w:val="both"/>
              <w:rPr>
                <w:rFonts w:cs="Arial"/>
                <w:vanish/>
              </w:rPr>
            </w:pPr>
          </w:p>
          <w:p w14:paraId="21FA43D6" w14:textId="75F595FF" w:rsidR="008D7F61" w:rsidRPr="000036B6" w:rsidRDefault="008D7F61" w:rsidP="00A54ABD">
            <w:pPr>
              <w:pStyle w:val="ListParagraph"/>
              <w:numPr>
                <w:ilvl w:val="1"/>
                <w:numId w:val="18"/>
              </w:numPr>
              <w:spacing w:line="276" w:lineRule="auto"/>
              <w:ind w:left="709"/>
              <w:contextualSpacing w:val="0"/>
              <w:jc w:val="both"/>
              <w:rPr>
                <w:rFonts w:cs="Arial"/>
              </w:rPr>
            </w:pPr>
            <w:r w:rsidRPr="000036B6">
              <w:rPr>
                <w:rFonts w:cs="Arial"/>
              </w:rPr>
              <w:t xml:space="preserve">Data </w:t>
            </w:r>
            <w:r w:rsidRPr="00A54ABD">
              <w:t>reported</w:t>
            </w:r>
            <w:r w:rsidRPr="000036B6">
              <w:rPr>
                <w:rFonts w:cs="Arial"/>
              </w:rPr>
              <w:t xml:space="preserve"> as of 31 March 2025, unless otherwise indicated.</w:t>
            </w:r>
          </w:p>
          <w:p w14:paraId="19093925" w14:textId="77777777" w:rsidR="008D7F61" w:rsidRPr="00625768" w:rsidRDefault="008D7F61" w:rsidP="00A54ABD">
            <w:pPr>
              <w:pStyle w:val="ListParagraph"/>
              <w:numPr>
                <w:ilvl w:val="1"/>
                <w:numId w:val="18"/>
              </w:numPr>
              <w:spacing w:after="120" w:line="276" w:lineRule="auto"/>
              <w:ind w:left="709"/>
              <w:contextualSpacing w:val="0"/>
              <w:jc w:val="both"/>
            </w:pPr>
            <w:r w:rsidRPr="00625768">
              <w:t xml:space="preserve">For this report, the term "Ethnic Minority" (EM) will be used to refer to our Black and Asian staff. This </w:t>
            </w:r>
            <w:r w:rsidRPr="00A54ABD">
              <w:rPr>
                <w:rFonts w:cs="Arial"/>
              </w:rPr>
              <w:t>terminology</w:t>
            </w:r>
            <w:r w:rsidRPr="00625768">
              <w:t xml:space="preserve"> has been chosen for consistency within the report; however, we acknowledge the evolving discussions around language and inclusivity.</w:t>
            </w:r>
          </w:p>
          <w:p w14:paraId="77F2115D" w14:textId="77777777" w:rsidR="00A54ABD" w:rsidRPr="00A54ABD" w:rsidRDefault="00A54ABD" w:rsidP="00A54ABD">
            <w:pPr>
              <w:pStyle w:val="ListParagraph"/>
              <w:keepNext/>
              <w:keepLines/>
              <w:numPr>
                <w:ilvl w:val="0"/>
                <w:numId w:val="12"/>
              </w:numPr>
              <w:ind w:left="709" w:hanging="709"/>
              <w:contextualSpacing w:val="0"/>
              <w:outlineLvl w:val="0"/>
              <w:rPr>
                <w:rFonts w:eastAsiaTheme="majorEastAsia" w:cs="Arial"/>
                <w:b/>
                <w:bCs/>
                <w:vanish/>
              </w:rPr>
            </w:pPr>
          </w:p>
          <w:p w14:paraId="11E1F019" w14:textId="59B10AA4" w:rsidR="008D7F61" w:rsidRPr="000036B6" w:rsidRDefault="008D7F61" w:rsidP="00A54ABD">
            <w:pPr>
              <w:pStyle w:val="Heading1"/>
              <w:numPr>
                <w:ilvl w:val="0"/>
                <w:numId w:val="12"/>
              </w:numPr>
              <w:spacing w:after="0"/>
              <w:ind w:left="709" w:hanging="709"/>
              <w:rPr>
                <w:rFonts w:cs="Arial"/>
                <w:bCs/>
                <w:color w:val="auto"/>
                <w:sz w:val="24"/>
                <w:szCs w:val="24"/>
              </w:rPr>
            </w:pPr>
            <w:r w:rsidRPr="000036B6">
              <w:rPr>
                <w:rFonts w:cs="Arial"/>
                <w:bCs/>
                <w:color w:val="auto"/>
                <w:sz w:val="24"/>
                <w:szCs w:val="24"/>
              </w:rPr>
              <w:t xml:space="preserve">Key </w:t>
            </w:r>
            <w:r w:rsidRPr="00A54ABD">
              <w:rPr>
                <w:color w:val="auto"/>
                <w:sz w:val="24"/>
                <w:szCs w:val="24"/>
              </w:rPr>
              <w:t>Findings</w:t>
            </w:r>
            <w:r w:rsidRPr="000036B6">
              <w:rPr>
                <w:rFonts w:cs="Arial"/>
                <w:bCs/>
                <w:color w:val="auto"/>
                <w:sz w:val="24"/>
                <w:szCs w:val="24"/>
              </w:rPr>
              <w:t xml:space="preserve"> from March 2025 are as follows:</w:t>
            </w:r>
          </w:p>
          <w:p w14:paraId="23C4B6A4" w14:textId="77777777" w:rsidR="008D7F61" w:rsidRPr="00A54ABD" w:rsidRDefault="008D7F61" w:rsidP="00A54ABD">
            <w:pPr>
              <w:pStyle w:val="ListParagraph"/>
              <w:numPr>
                <w:ilvl w:val="1"/>
                <w:numId w:val="34"/>
              </w:numPr>
              <w:spacing w:line="276" w:lineRule="auto"/>
              <w:jc w:val="both"/>
            </w:pPr>
            <w:r w:rsidRPr="00E64B21">
              <w:rPr>
                <w:rFonts w:cs="Arial"/>
              </w:rPr>
              <w:t>The mean Ethnicity Pay Gap is</w:t>
            </w:r>
            <w:r>
              <w:rPr>
                <w:rFonts w:cs="Arial"/>
              </w:rPr>
              <w:t xml:space="preserve"> 1.2% (</w:t>
            </w:r>
            <w:r w:rsidRPr="00E64B21">
              <w:rPr>
                <w:rFonts w:cs="Arial"/>
              </w:rPr>
              <w:t>£0.28</w:t>
            </w:r>
            <w:r>
              <w:rPr>
                <w:rFonts w:cs="Arial"/>
              </w:rPr>
              <w:t>)</w:t>
            </w:r>
            <w:r w:rsidRPr="00E64B21">
              <w:rPr>
                <w:rFonts w:cs="Arial"/>
              </w:rPr>
              <w:t xml:space="preserve"> in favour of EM staff, which is a 2% reduction from 3</w:t>
            </w:r>
            <w:r w:rsidRPr="00A54ABD">
              <w:t>.2% in 2024.</w:t>
            </w:r>
          </w:p>
          <w:p w14:paraId="1CA39CDA" w14:textId="4672299B" w:rsidR="008D7F61" w:rsidRPr="008650AE" w:rsidRDefault="008D7F61" w:rsidP="008650AE">
            <w:pPr>
              <w:pStyle w:val="ListParagraph"/>
              <w:numPr>
                <w:ilvl w:val="1"/>
                <w:numId w:val="34"/>
              </w:numPr>
              <w:spacing w:after="120" w:line="276" w:lineRule="auto"/>
              <w:ind w:left="714" w:hanging="357"/>
              <w:contextualSpacing w:val="0"/>
              <w:jc w:val="both"/>
              <w:rPr>
                <w:rFonts w:cs="Arial"/>
              </w:rPr>
            </w:pPr>
            <w:r w:rsidRPr="00A54ABD">
              <w:t>The m</w:t>
            </w:r>
            <w:r w:rsidRPr="00E64B21">
              <w:rPr>
                <w:rFonts w:cs="Arial"/>
              </w:rPr>
              <w:t>edian Ethnicity Pay Gap is</w:t>
            </w:r>
            <w:r>
              <w:rPr>
                <w:rFonts w:cs="Arial"/>
              </w:rPr>
              <w:t xml:space="preserve"> 3.4% (</w:t>
            </w:r>
            <w:r w:rsidRPr="00E64B21">
              <w:rPr>
                <w:rFonts w:cs="Arial"/>
              </w:rPr>
              <w:t>£0.67</w:t>
            </w:r>
            <w:r>
              <w:rPr>
                <w:rFonts w:cs="Arial"/>
              </w:rPr>
              <w:t>)</w:t>
            </w:r>
            <w:r w:rsidRPr="00E64B21">
              <w:rPr>
                <w:rFonts w:cs="Arial"/>
              </w:rPr>
              <w:t xml:space="preserve"> in favour of EM staff, which shows a 1.85% reduction from 5.25% in 2024.  </w:t>
            </w:r>
          </w:p>
          <w:p w14:paraId="18A2DF44" w14:textId="77777777" w:rsidR="00A54ABD" w:rsidRPr="00A54ABD" w:rsidRDefault="00A54ABD" w:rsidP="00A54ABD">
            <w:pPr>
              <w:pStyle w:val="ListParagraph"/>
              <w:numPr>
                <w:ilvl w:val="0"/>
                <w:numId w:val="18"/>
              </w:numPr>
              <w:spacing w:after="120" w:line="276" w:lineRule="auto"/>
              <w:contextualSpacing w:val="0"/>
              <w:jc w:val="both"/>
              <w:rPr>
                <w:vanish/>
              </w:rPr>
            </w:pPr>
          </w:p>
          <w:p w14:paraId="4BC516BC" w14:textId="606B8A3B" w:rsidR="008D7F61" w:rsidRDefault="008D7F61" w:rsidP="008650AE">
            <w:pPr>
              <w:pStyle w:val="ListParagraph"/>
              <w:numPr>
                <w:ilvl w:val="1"/>
                <w:numId w:val="18"/>
              </w:numPr>
              <w:spacing w:after="120" w:line="276" w:lineRule="auto"/>
              <w:ind w:left="709"/>
              <w:jc w:val="both"/>
            </w:pPr>
            <w:r w:rsidRPr="00716AAB">
              <w:t>As of March 202</w:t>
            </w:r>
            <w:r>
              <w:t>5</w:t>
            </w:r>
            <w:r w:rsidRPr="00716AAB">
              <w:t xml:space="preserve">, </w:t>
            </w:r>
            <w:r>
              <w:t>23.7</w:t>
            </w:r>
            <w:r w:rsidRPr="00716AAB">
              <w:t>% of staff at GHNHSFT identified as being from a</w:t>
            </w:r>
            <w:r>
              <w:t>n</w:t>
            </w:r>
            <w:r w:rsidRPr="00716AAB">
              <w:t xml:space="preserve"> </w:t>
            </w:r>
            <w:r>
              <w:t>EM</w:t>
            </w:r>
            <w:r w:rsidRPr="00716AAB">
              <w:t xml:space="preserve"> background, 66.</w:t>
            </w:r>
            <w:r>
              <w:t>1</w:t>
            </w:r>
            <w:r w:rsidRPr="00716AAB">
              <w:t>% of the workforce is White, and 1</w:t>
            </w:r>
            <w:r>
              <w:t>0.18</w:t>
            </w:r>
            <w:r w:rsidRPr="00716AAB">
              <w:t>% had their ethnicity recorded as unknown</w:t>
            </w:r>
            <w:r>
              <w:t>.</w:t>
            </w:r>
          </w:p>
          <w:p w14:paraId="79078250" w14:textId="128C86FE" w:rsidR="008D7F61" w:rsidRDefault="008D7F61" w:rsidP="008650AE">
            <w:pPr>
              <w:pStyle w:val="ListParagraph"/>
              <w:numPr>
                <w:ilvl w:val="1"/>
                <w:numId w:val="18"/>
              </w:numPr>
              <w:spacing w:line="276" w:lineRule="auto"/>
              <w:ind w:left="709"/>
              <w:contextualSpacing w:val="0"/>
              <w:jc w:val="both"/>
            </w:pPr>
            <w:r>
              <w:t>The table below shows the average and median hourly rates for different ethnic origins groups as follows.</w:t>
            </w:r>
          </w:p>
          <w:p w14:paraId="3A24AB9B" w14:textId="0A818D51" w:rsidR="008D7F61" w:rsidRDefault="008D7F61" w:rsidP="00A54ABD">
            <w:pPr>
              <w:pStyle w:val="ListParagraph"/>
              <w:numPr>
                <w:ilvl w:val="1"/>
                <w:numId w:val="34"/>
              </w:numPr>
              <w:spacing w:line="276" w:lineRule="auto"/>
              <w:jc w:val="both"/>
            </w:pPr>
            <w:r w:rsidRPr="00A54ABD">
              <w:rPr>
                <w:rFonts w:cs="Arial"/>
              </w:rPr>
              <w:t>Please</w:t>
            </w:r>
            <w:r>
              <w:t xml:space="preserve"> note:  </w:t>
            </w:r>
            <w:r>
              <w:rPr>
                <w:rStyle w:val="Strong"/>
              </w:rPr>
              <w:t>NULL</w:t>
            </w:r>
            <w:r w:rsidRPr="00387592">
              <w:rPr>
                <w:rStyle w:val="Strong"/>
              </w:rPr>
              <w:t xml:space="preserve"> </w:t>
            </w:r>
            <w:r w:rsidRPr="00A54ABD">
              <w:rPr>
                <w:rStyle w:val="Strong"/>
                <w:b w:val="0"/>
                <w:bCs w:val="0"/>
              </w:rPr>
              <w:t>-</w:t>
            </w:r>
            <w:r w:rsidRPr="00A54ABD">
              <w:t xml:space="preserve"> </w:t>
            </w:r>
            <w:r>
              <w:t xml:space="preserve">indicates no data was entered. </w:t>
            </w:r>
            <w:r w:rsidRPr="00A54ABD">
              <w:rPr>
                <w:b/>
                <w:bCs/>
              </w:rPr>
              <w:t>Not Stated</w:t>
            </w:r>
            <w:r>
              <w:t xml:space="preserve"> - indicates that the person chose not to disclose the information.</w:t>
            </w:r>
          </w:p>
          <w:tbl>
            <w:tblPr>
              <w:tblpPr w:leftFromText="180" w:rightFromText="180" w:vertAnchor="text" w:horzAnchor="margin" w:tblpXSpec="center" w:tblpY="217"/>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91"/>
              <w:gridCol w:w="1927"/>
              <w:gridCol w:w="2278"/>
              <w:gridCol w:w="2275"/>
              <w:gridCol w:w="2277"/>
            </w:tblGrid>
            <w:tr w:rsidR="008D7F61" w:rsidRPr="008E32B4" w14:paraId="565BDD1A" w14:textId="77777777" w:rsidTr="00A54ABD">
              <w:trPr>
                <w:trHeight w:val="286"/>
              </w:trPr>
              <w:tc>
                <w:tcPr>
                  <w:tcW w:w="685" w:type="pct"/>
                  <w:shd w:val="clear" w:color="auto" w:fill="0070C0"/>
                  <w:vAlign w:val="center"/>
                  <w:hideMark/>
                </w:tcPr>
                <w:p w14:paraId="2BD81A0C" w14:textId="77777777" w:rsidR="008D7F61" w:rsidRPr="00A54ABD" w:rsidRDefault="008D7F61" w:rsidP="00A54ABD">
                  <w:pPr>
                    <w:spacing w:after="0" w:line="240" w:lineRule="auto"/>
                    <w:rPr>
                      <w:rFonts w:ascii="Calibri" w:eastAsia="Times New Roman" w:hAnsi="Calibri" w:cs="Calibri"/>
                      <w:b/>
                      <w:bCs/>
                      <w:color w:val="FFFFFF"/>
                    </w:rPr>
                  </w:pPr>
                  <w:r w:rsidRPr="00A54ABD">
                    <w:rPr>
                      <w:rFonts w:eastAsia="Times New Roman" w:cs="Arial"/>
                      <w:b/>
                      <w:bCs/>
                      <w:color w:val="FFFFFF"/>
                    </w:rPr>
                    <w:t>Ethnic Origin Grouping Summary</w:t>
                  </w:r>
                </w:p>
                <w:p w14:paraId="1C6C15CE" w14:textId="77777777" w:rsidR="008D7F61" w:rsidRPr="00A54ABD" w:rsidRDefault="008D7F61" w:rsidP="00A54ABD">
                  <w:pPr>
                    <w:spacing w:after="0" w:line="240" w:lineRule="auto"/>
                    <w:rPr>
                      <w:rFonts w:ascii="Calibri" w:eastAsia="Times New Roman" w:hAnsi="Calibri" w:cs="Calibri"/>
                      <w:b/>
                      <w:bCs/>
                      <w:color w:val="FFFFFF"/>
                    </w:rPr>
                  </w:pPr>
                </w:p>
              </w:tc>
              <w:tc>
                <w:tcPr>
                  <w:tcW w:w="949" w:type="pct"/>
                  <w:shd w:val="clear" w:color="auto" w:fill="0070C0"/>
                  <w:vAlign w:val="center"/>
                  <w:hideMark/>
                </w:tcPr>
                <w:p w14:paraId="798D3256"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Mean Hourly Rate 2025</w:t>
                  </w:r>
                </w:p>
              </w:tc>
              <w:tc>
                <w:tcPr>
                  <w:tcW w:w="1122" w:type="pct"/>
                  <w:shd w:val="clear" w:color="auto" w:fill="0070C0"/>
                  <w:vAlign w:val="center"/>
                </w:tcPr>
                <w:p w14:paraId="38D0F76B"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Change since 2024</w:t>
                  </w:r>
                </w:p>
              </w:tc>
              <w:tc>
                <w:tcPr>
                  <w:tcW w:w="1121" w:type="pct"/>
                  <w:shd w:val="clear" w:color="auto" w:fill="0070C0"/>
                  <w:vAlign w:val="center"/>
                  <w:hideMark/>
                </w:tcPr>
                <w:p w14:paraId="43B0862F"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Median Hourly Rate 2025</w:t>
                  </w:r>
                </w:p>
              </w:tc>
              <w:tc>
                <w:tcPr>
                  <w:tcW w:w="1122" w:type="pct"/>
                  <w:shd w:val="clear" w:color="auto" w:fill="0070C0"/>
                  <w:vAlign w:val="center"/>
                </w:tcPr>
                <w:p w14:paraId="66188965"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Change since 2024</w:t>
                  </w:r>
                </w:p>
              </w:tc>
            </w:tr>
            <w:tr w:rsidR="008D7F61" w:rsidRPr="008E32B4" w14:paraId="0183A75F" w14:textId="77777777" w:rsidTr="00A54ABD">
              <w:trPr>
                <w:trHeight w:val="286"/>
              </w:trPr>
              <w:tc>
                <w:tcPr>
                  <w:tcW w:w="685" w:type="pct"/>
                  <w:vAlign w:val="center"/>
                  <w:hideMark/>
                </w:tcPr>
                <w:p w14:paraId="1D3E207D" w14:textId="77777777" w:rsidR="008D7F61" w:rsidRPr="008E32B4" w:rsidRDefault="008D7F61" w:rsidP="00A54ABD">
                  <w:pPr>
                    <w:spacing w:after="0" w:line="240" w:lineRule="auto"/>
                    <w:rPr>
                      <w:rFonts w:eastAsia="Times New Roman" w:cs="Arial"/>
                      <w:color w:val="000000"/>
                    </w:rPr>
                  </w:pPr>
                  <w:r w:rsidRPr="008E32B4">
                    <w:rPr>
                      <w:rFonts w:eastAsia="Times New Roman" w:cs="Arial"/>
                      <w:color w:val="000000"/>
                    </w:rPr>
                    <w:t>E</w:t>
                  </w:r>
                  <w:r>
                    <w:rPr>
                      <w:rFonts w:eastAsia="Times New Roman" w:cs="Arial"/>
                      <w:color w:val="000000"/>
                    </w:rPr>
                    <w:t>M</w:t>
                  </w:r>
                </w:p>
              </w:tc>
              <w:tc>
                <w:tcPr>
                  <w:tcW w:w="949" w:type="pct"/>
                  <w:shd w:val="clear" w:color="000000" w:fill="FFFFFF"/>
                  <w:vAlign w:val="center"/>
                </w:tcPr>
                <w:p w14:paraId="7371206B" w14:textId="77777777" w:rsidR="008D7F61" w:rsidRPr="0026010C" w:rsidRDefault="008D7F61" w:rsidP="00A54ABD">
                  <w:pPr>
                    <w:spacing w:after="0" w:line="240" w:lineRule="auto"/>
                    <w:rPr>
                      <w:rFonts w:eastAsia="Times New Roman" w:cs="Arial"/>
                      <w:i/>
                      <w:iCs/>
                      <w:color w:val="000000"/>
                    </w:rPr>
                  </w:pPr>
                  <w:r>
                    <w:rPr>
                      <w:rFonts w:eastAsia="Times New Roman" w:cs="Arial"/>
                      <w:color w:val="000000"/>
                    </w:rPr>
                    <w:t xml:space="preserve">£23.54 </w:t>
                  </w:r>
                </w:p>
              </w:tc>
              <w:tc>
                <w:tcPr>
                  <w:tcW w:w="1122" w:type="pct"/>
                  <w:shd w:val="clear" w:color="000000" w:fill="FFFFFF"/>
                  <w:vAlign w:val="center"/>
                </w:tcPr>
                <w:p w14:paraId="55F58DE0" w14:textId="77777777" w:rsidR="008D7F61" w:rsidRDefault="008D7F61" w:rsidP="00A54ABD">
                  <w:pPr>
                    <w:spacing w:after="0" w:line="240" w:lineRule="auto"/>
                    <w:rPr>
                      <w:rFonts w:eastAsia="Times New Roman" w:cs="Arial"/>
                      <w:color w:val="000000"/>
                    </w:rPr>
                  </w:pPr>
                  <w:r>
                    <w:rPr>
                      <w:rFonts w:eastAsia="Times New Roman" w:cs="Arial"/>
                      <w:color w:val="000000"/>
                    </w:rPr>
                    <w:t>Increase of £1.36 since 2024</w:t>
                  </w:r>
                </w:p>
              </w:tc>
              <w:tc>
                <w:tcPr>
                  <w:tcW w:w="1121" w:type="pct"/>
                  <w:shd w:val="clear" w:color="000000" w:fill="FFFFFF"/>
                  <w:vAlign w:val="center"/>
                </w:tcPr>
                <w:p w14:paraId="48509E85" w14:textId="77777777" w:rsidR="008D7F61" w:rsidRPr="00044BF6" w:rsidRDefault="008D7F61" w:rsidP="00A54ABD">
                  <w:pPr>
                    <w:spacing w:after="0" w:line="240" w:lineRule="auto"/>
                    <w:rPr>
                      <w:rFonts w:eastAsia="Times New Roman" w:cs="Arial"/>
                      <w:i/>
                      <w:iCs/>
                      <w:color w:val="000000"/>
                    </w:rPr>
                  </w:pPr>
                  <w:r>
                    <w:rPr>
                      <w:rFonts w:eastAsia="Times New Roman" w:cs="Arial"/>
                      <w:color w:val="000000"/>
                    </w:rPr>
                    <w:t xml:space="preserve">£20.46 </w:t>
                  </w:r>
                </w:p>
              </w:tc>
              <w:tc>
                <w:tcPr>
                  <w:tcW w:w="1122" w:type="pct"/>
                  <w:shd w:val="clear" w:color="000000" w:fill="FFFFFF"/>
                  <w:vAlign w:val="center"/>
                </w:tcPr>
                <w:p w14:paraId="57DE2D7B" w14:textId="77777777" w:rsidR="008D7F61" w:rsidRDefault="008D7F61" w:rsidP="00A54ABD">
                  <w:pPr>
                    <w:spacing w:after="0" w:line="240" w:lineRule="auto"/>
                    <w:rPr>
                      <w:rFonts w:eastAsia="Times New Roman" w:cs="Arial"/>
                      <w:color w:val="000000"/>
                    </w:rPr>
                  </w:pPr>
                  <w:r>
                    <w:rPr>
                      <w:rFonts w:eastAsia="Times New Roman" w:cs="Arial"/>
                      <w:color w:val="000000"/>
                    </w:rPr>
                    <w:t>Increase of £0.98 since 2024</w:t>
                  </w:r>
                </w:p>
              </w:tc>
            </w:tr>
            <w:tr w:rsidR="008D7F61" w:rsidRPr="008E32B4" w14:paraId="69408672" w14:textId="77777777" w:rsidTr="00A54ABD">
              <w:trPr>
                <w:trHeight w:val="286"/>
              </w:trPr>
              <w:tc>
                <w:tcPr>
                  <w:tcW w:w="685" w:type="pct"/>
                  <w:vAlign w:val="center"/>
                  <w:hideMark/>
                </w:tcPr>
                <w:p w14:paraId="32B89944" w14:textId="77777777" w:rsidR="008D7F61" w:rsidRPr="008E32B4" w:rsidRDefault="008D7F61" w:rsidP="00A54ABD">
                  <w:pPr>
                    <w:spacing w:after="0" w:line="240" w:lineRule="auto"/>
                    <w:rPr>
                      <w:rFonts w:eastAsia="Times New Roman" w:cs="Arial"/>
                      <w:color w:val="000000"/>
                    </w:rPr>
                  </w:pPr>
                  <w:r w:rsidRPr="008E32B4">
                    <w:rPr>
                      <w:rFonts w:eastAsia="Times New Roman" w:cs="Arial"/>
                      <w:color w:val="000000"/>
                    </w:rPr>
                    <w:t>NULL</w:t>
                  </w:r>
                </w:p>
              </w:tc>
              <w:tc>
                <w:tcPr>
                  <w:tcW w:w="949" w:type="pct"/>
                  <w:shd w:val="clear" w:color="000000" w:fill="FFFFFF"/>
                  <w:vAlign w:val="center"/>
                </w:tcPr>
                <w:p w14:paraId="6EDC908E" w14:textId="77777777" w:rsidR="008D7F61" w:rsidRPr="008E32B4" w:rsidRDefault="008D7F61" w:rsidP="00A54ABD">
                  <w:pPr>
                    <w:spacing w:after="0" w:line="240" w:lineRule="auto"/>
                    <w:rPr>
                      <w:rFonts w:eastAsia="Times New Roman" w:cs="Arial"/>
                      <w:color w:val="000000"/>
                    </w:rPr>
                  </w:pPr>
                  <w:r>
                    <w:rPr>
                      <w:rFonts w:eastAsia="Times New Roman" w:cs="Arial"/>
                      <w:color w:val="000000"/>
                    </w:rPr>
                    <w:t>£22.58</w:t>
                  </w:r>
                </w:p>
              </w:tc>
              <w:tc>
                <w:tcPr>
                  <w:tcW w:w="1122" w:type="pct"/>
                  <w:shd w:val="clear" w:color="000000" w:fill="FFFFFF"/>
                  <w:vAlign w:val="center"/>
                </w:tcPr>
                <w:p w14:paraId="1EA28E89" w14:textId="77777777" w:rsidR="008D7F61" w:rsidRDefault="008D7F61" w:rsidP="00A54ABD">
                  <w:pPr>
                    <w:spacing w:after="0" w:line="240" w:lineRule="auto"/>
                    <w:rPr>
                      <w:rFonts w:eastAsia="Times New Roman" w:cs="Arial"/>
                      <w:color w:val="000000"/>
                    </w:rPr>
                  </w:pPr>
                  <w:r>
                    <w:rPr>
                      <w:rFonts w:eastAsia="Times New Roman" w:cs="Arial"/>
                      <w:color w:val="000000"/>
                    </w:rPr>
                    <w:t>Increase of £3.73 since 2024</w:t>
                  </w:r>
                </w:p>
              </w:tc>
              <w:tc>
                <w:tcPr>
                  <w:tcW w:w="1121" w:type="pct"/>
                  <w:shd w:val="clear" w:color="000000" w:fill="FFFFFF"/>
                  <w:vAlign w:val="center"/>
                </w:tcPr>
                <w:p w14:paraId="5D42F210" w14:textId="77777777" w:rsidR="008D7F61" w:rsidRPr="008E32B4" w:rsidRDefault="008D7F61" w:rsidP="00A54ABD">
                  <w:pPr>
                    <w:spacing w:after="0" w:line="240" w:lineRule="auto"/>
                    <w:rPr>
                      <w:rFonts w:eastAsia="Times New Roman" w:cs="Arial"/>
                      <w:color w:val="000000"/>
                    </w:rPr>
                  </w:pPr>
                  <w:r>
                    <w:rPr>
                      <w:rFonts w:eastAsia="Times New Roman" w:cs="Arial"/>
                      <w:color w:val="000000"/>
                    </w:rPr>
                    <w:t>£19.05</w:t>
                  </w:r>
                </w:p>
              </w:tc>
              <w:tc>
                <w:tcPr>
                  <w:tcW w:w="1122" w:type="pct"/>
                  <w:shd w:val="clear" w:color="000000" w:fill="FFFFFF"/>
                  <w:vAlign w:val="center"/>
                </w:tcPr>
                <w:p w14:paraId="6C4D36E9" w14:textId="77777777" w:rsidR="008D7F61" w:rsidRDefault="008D7F61" w:rsidP="00A54ABD">
                  <w:pPr>
                    <w:spacing w:after="0" w:line="240" w:lineRule="auto"/>
                    <w:rPr>
                      <w:rFonts w:eastAsia="Times New Roman" w:cs="Arial"/>
                      <w:color w:val="000000"/>
                    </w:rPr>
                  </w:pPr>
                  <w:r>
                    <w:rPr>
                      <w:rFonts w:eastAsia="Times New Roman" w:cs="Arial"/>
                      <w:color w:val="000000"/>
                    </w:rPr>
                    <w:t>Increase of £2.94 since 2024</w:t>
                  </w:r>
                </w:p>
              </w:tc>
            </w:tr>
            <w:tr w:rsidR="008D7F61" w:rsidRPr="008E32B4" w14:paraId="537493CE" w14:textId="77777777" w:rsidTr="00A54ABD">
              <w:trPr>
                <w:trHeight w:val="286"/>
              </w:trPr>
              <w:tc>
                <w:tcPr>
                  <w:tcW w:w="685" w:type="pct"/>
                  <w:vAlign w:val="center"/>
                  <w:hideMark/>
                </w:tcPr>
                <w:p w14:paraId="6B72C2B7" w14:textId="77777777" w:rsidR="008D7F61" w:rsidRPr="008E32B4" w:rsidRDefault="008D7F61" w:rsidP="00A54ABD">
                  <w:pPr>
                    <w:spacing w:after="0" w:line="240" w:lineRule="auto"/>
                    <w:rPr>
                      <w:rFonts w:eastAsia="Times New Roman" w:cs="Arial"/>
                      <w:color w:val="000000"/>
                    </w:rPr>
                  </w:pPr>
                  <w:r w:rsidRPr="008E32B4">
                    <w:rPr>
                      <w:rFonts w:eastAsia="Times New Roman" w:cs="Arial"/>
                      <w:color w:val="000000"/>
                    </w:rPr>
                    <w:t>Not Stated</w:t>
                  </w:r>
                </w:p>
              </w:tc>
              <w:tc>
                <w:tcPr>
                  <w:tcW w:w="949" w:type="pct"/>
                  <w:shd w:val="clear" w:color="000000" w:fill="FFFFFF"/>
                  <w:vAlign w:val="center"/>
                </w:tcPr>
                <w:p w14:paraId="2CA4D7A0" w14:textId="77777777" w:rsidR="008D7F61" w:rsidRPr="008E32B4" w:rsidRDefault="008D7F61" w:rsidP="00A54ABD">
                  <w:pPr>
                    <w:spacing w:after="0" w:line="240" w:lineRule="auto"/>
                    <w:rPr>
                      <w:rFonts w:eastAsia="Times New Roman" w:cs="Arial"/>
                      <w:color w:val="000000"/>
                    </w:rPr>
                  </w:pPr>
                  <w:r>
                    <w:rPr>
                      <w:rFonts w:eastAsia="Times New Roman" w:cs="Arial"/>
                      <w:color w:val="000000"/>
                    </w:rPr>
                    <w:t>£23.13</w:t>
                  </w:r>
                </w:p>
              </w:tc>
              <w:tc>
                <w:tcPr>
                  <w:tcW w:w="1122" w:type="pct"/>
                  <w:shd w:val="clear" w:color="000000" w:fill="FFFFFF"/>
                  <w:vAlign w:val="center"/>
                </w:tcPr>
                <w:p w14:paraId="4AF0D364" w14:textId="77777777" w:rsidR="008D7F61" w:rsidRDefault="008D7F61" w:rsidP="00A54ABD">
                  <w:pPr>
                    <w:spacing w:after="0" w:line="240" w:lineRule="auto"/>
                    <w:rPr>
                      <w:rFonts w:eastAsia="Times New Roman" w:cs="Arial"/>
                      <w:color w:val="000000"/>
                    </w:rPr>
                  </w:pPr>
                  <w:r>
                    <w:rPr>
                      <w:rFonts w:eastAsia="Times New Roman" w:cs="Arial"/>
                      <w:color w:val="000000"/>
                    </w:rPr>
                    <w:t>Increase of £2.37 since 2024</w:t>
                  </w:r>
                </w:p>
              </w:tc>
              <w:tc>
                <w:tcPr>
                  <w:tcW w:w="1121" w:type="pct"/>
                  <w:shd w:val="clear" w:color="000000" w:fill="FFFFFF"/>
                  <w:vAlign w:val="center"/>
                </w:tcPr>
                <w:p w14:paraId="13EA7AFF" w14:textId="77777777" w:rsidR="008D7F61" w:rsidRPr="008E32B4" w:rsidRDefault="008D7F61" w:rsidP="00A54ABD">
                  <w:pPr>
                    <w:spacing w:after="0" w:line="240" w:lineRule="auto"/>
                    <w:rPr>
                      <w:rFonts w:eastAsia="Times New Roman" w:cs="Arial"/>
                      <w:color w:val="000000"/>
                    </w:rPr>
                  </w:pPr>
                  <w:r>
                    <w:rPr>
                      <w:rFonts w:eastAsia="Times New Roman" w:cs="Arial"/>
                      <w:color w:val="000000"/>
                    </w:rPr>
                    <w:t>£21.01</w:t>
                  </w:r>
                </w:p>
              </w:tc>
              <w:tc>
                <w:tcPr>
                  <w:tcW w:w="1122" w:type="pct"/>
                  <w:shd w:val="clear" w:color="000000" w:fill="FFFFFF"/>
                  <w:vAlign w:val="center"/>
                </w:tcPr>
                <w:p w14:paraId="257D500C" w14:textId="77777777" w:rsidR="008D7F61" w:rsidRDefault="008D7F61" w:rsidP="00A54ABD">
                  <w:pPr>
                    <w:spacing w:after="0" w:line="240" w:lineRule="auto"/>
                    <w:rPr>
                      <w:rFonts w:eastAsia="Times New Roman" w:cs="Arial"/>
                      <w:color w:val="000000"/>
                    </w:rPr>
                  </w:pPr>
                  <w:r>
                    <w:rPr>
                      <w:rFonts w:eastAsia="Times New Roman" w:cs="Arial"/>
                      <w:color w:val="000000"/>
                    </w:rPr>
                    <w:t>Increase of £2.03 since 2024</w:t>
                  </w:r>
                </w:p>
              </w:tc>
            </w:tr>
            <w:tr w:rsidR="008D7F61" w:rsidRPr="008E32B4" w14:paraId="448CBC68" w14:textId="77777777" w:rsidTr="00A54ABD">
              <w:trPr>
                <w:trHeight w:val="286"/>
              </w:trPr>
              <w:tc>
                <w:tcPr>
                  <w:tcW w:w="685" w:type="pct"/>
                  <w:vAlign w:val="center"/>
                  <w:hideMark/>
                </w:tcPr>
                <w:p w14:paraId="3A572F8F" w14:textId="77777777" w:rsidR="008D7F61" w:rsidRPr="008E32B4" w:rsidRDefault="008D7F61" w:rsidP="00A54ABD">
                  <w:pPr>
                    <w:spacing w:after="0" w:line="240" w:lineRule="auto"/>
                    <w:rPr>
                      <w:rFonts w:eastAsia="Times New Roman" w:cs="Arial"/>
                      <w:color w:val="000000"/>
                    </w:rPr>
                  </w:pPr>
                  <w:r w:rsidRPr="008E32B4">
                    <w:rPr>
                      <w:rFonts w:eastAsia="Times New Roman" w:cs="Arial"/>
                      <w:color w:val="000000"/>
                    </w:rPr>
                    <w:t>Other</w:t>
                  </w:r>
                </w:p>
              </w:tc>
              <w:tc>
                <w:tcPr>
                  <w:tcW w:w="949" w:type="pct"/>
                  <w:shd w:val="clear" w:color="000000" w:fill="FFFFFF"/>
                  <w:vAlign w:val="center"/>
                </w:tcPr>
                <w:p w14:paraId="3DC8661A" w14:textId="77777777" w:rsidR="008D7F61" w:rsidRPr="008E32B4" w:rsidRDefault="008D7F61" w:rsidP="00A54ABD">
                  <w:pPr>
                    <w:spacing w:after="0" w:line="240" w:lineRule="auto"/>
                    <w:rPr>
                      <w:rFonts w:eastAsia="Times New Roman" w:cs="Arial"/>
                      <w:color w:val="000000"/>
                    </w:rPr>
                  </w:pPr>
                  <w:r>
                    <w:rPr>
                      <w:rFonts w:eastAsia="Times New Roman" w:cs="Arial"/>
                      <w:color w:val="000000"/>
                    </w:rPr>
                    <w:t>£24.69</w:t>
                  </w:r>
                </w:p>
              </w:tc>
              <w:tc>
                <w:tcPr>
                  <w:tcW w:w="1122" w:type="pct"/>
                  <w:shd w:val="clear" w:color="000000" w:fill="FFFFFF"/>
                  <w:vAlign w:val="center"/>
                </w:tcPr>
                <w:p w14:paraId="4C01D587" w14:textId="77777777" w:rsidR="008D7F61" w:rsidRDefault="008D7F61" w:rsidP="00A54ABD">
                  <w:pPr>
                    <w:spacing w:after="0" w:line="240" w:lineRule="auto"/>
                    <w:rPr>
                      <w:rFonts w:eastAsia="Times New Roman" w:cs="Arial"/>
                      <w:color w:val="000000"/>
                    </w:rPr>
                  </w:pPr>
                  <w:r>
                    <w:rPr>
                      <w:rFonts w:eastAsia="Times New Roman" w:cs="Arial"/>
                      <w:color w:val="000000"/>
                    </w:rPr>
                    <w:t>Increase of £0.37 since 2024</w:t>
                  </w:r>
                </w:p>
              </w:tc>
              <w:tc>
                <w:tcPr>
                  <w:tcW w:w="1121" w:type="pct"/>
                  <w:shd w:val="clear" w:color="000000" w:fill="FFFFFF"/>
                  <w:vAlign w:val="center"/>
                </w:tcPr>
                <w:p w14:paraId="7D696CF6" w14:textId="77777777" w:rsidR="008D7F61" w:rsidRPr="008E32B4" w:rsidRDefault="008D7F61" w:rsidP="00A54ABD">
                  <w:pPr>
                    <w:spacing w:after="0" w:line="240" w:lineRule="auto"/>
                    <w:rPr>
                      <w:rFonts w:eastAsia="Times New Roman" w:cs="Arial"/>
                      <w:color w:val="000000"/>
                    </w:rPr>
                  </w:pPr>
                  <w:r>
                    <w:rPr>
                      <w:rFonts w:eastAsia="Times New Roman" w:cs="Arial"/>
                      <w:color w:val="000000"/>
                    </w:rPr>
                    <w:t>£21.82</w:t>
                  </w:r>
                </w:p>
              </w:tc>
              <w:tc>
                <w:tcPr>
                  <w:tcW w:w="1122" w:type="pct"/>
                  <w:shd w:val="clear" w:color="000000" w:fill="FFFFFF"/>
                  <w:vAlign w:val="center"/>
                </w:tcPr>
                <w:p w14:paraId="5086202A" w14:textId="77777777" w:rsidR="008D7F61" w:rsidRDefault="008D7F61" w:rsidP="00A54ABD">
                  <w:pPr>
                    <w:spacing w:after="0" w:line="240" w:lineRule="auto"/>
                    <w:rPr>
                      <w:rFonts w:eastAsia="Times New Roman" w:cs="Arial"/>
                      <w:color w:val="000000"/>
                    </w:rPr>
                  </w:pPr>
                  <w:r>
                    <w:rPr>
                      <w:rFonts w:eastAsia="Times New Roman" w:cs="Arial"/>
                      <w:color w:val="000000"/>
                    </w:rPr>
                    <w:t>Increase of £0.02 since 2024</w:t>
                  </w:r>
                </w:p>
              </w:tc>
            </w:tr>
            <w:tr w:rsidR="008D7F61" w:rsidRPr="008E32B4" w14:paraId="4A4C85C5" w14:textId="77777777" w:rsidTr="00A54ABD">
              <w:trPr>
                <w:trHeight w:val="286"/>
              </w:trPr>
              <w:tc>
                <w:tcPr>
                  <w:tcW w:w="685" w:type="pct"/>
                  <w:vAlign w:val="center"/>
                  <w:hideMark/>
                </w:tcPr>
                <w:p w14:paraId="6624B0C1" w14:textId="77777777" w:rsidR="008D7F61" w:rsidRPr="008E32B4" w:rsidRDefault="008D7F61" w:rsidP="00A54ABD">
                  <w:pPr>
                    <w:spacing w:after="0" w:line="240" w:lineRule="auto"/>
                    <w:rPr>
                      <w:rFonts w:eastAsia="Times New Roman" w:cs="Arial"/>
                      <w:color w:val="000000"/>
                    </w:rPr>
                  </w:pPr>
                  <w:r w:rsidRPr="008E32B4">
                    <w:rPr>
                      <w:rFonts w:eastAsia="Times New Roman" w:cs="Arial"/>
                      <w:color w:val="000000"/>
                    </w:rPr>
                    <w:t>White</w:t>
                  </w:r>
                </w:p>
              </w:tc>
              <w:tc>
                <w:tcPr>
                  <w:tcW w:w="949" w:type="pct"/>
                  <w:shd w:val="clear" w:color="000000" w:fill="FFFFFF"/>
                  <w:vAlign w:val="center"/>
                </w:tcPr>
                <w:p w14:paraId="289DC730" w14:textId="77777777" w:rsidR="008D7F61" w:rsidRPr="008E32B4" w:rsidRDefault="008D7F61" w:rsidP="00A54ABD">
                  <w:pPr>
                    <w:spacing w:after="0" w:line="240" w:lineRule="auto"/>
                    <w:rPr>
                      <w:rFonts w:eastAsia="Times New Roman" w:cs="Arial"/>
                      <w:color w:val="000000"/>
                    </w:rPr>
                  </w:pPr>
                  <w:r>
                    <w:rPr>
                      <w:rFonts w:eastAsia="Times New Roman" w:cs="Arial"/>
                      <w:color w:val="000000"/>
                    </w:rPr>
                    <w:t>£23.26</w:t>
                  </w:r>
                </w:p>
              </w:tc>
              <w:tc>
                <w:tcPr>
                  <w:tcW w:w="1122" w:type="pct"/>
                  <w:shd w:val="clear" w:color="000000" w:fill="FFFFFF"/>
                  <w:vAlign w:val="center"/>
                </w:tcPr>
                <w:p w14:paraId="47EF4591" w14:textId="77777777" w:rsidR="008D7F61" w:rsidRDefault="008D7F61" w:rsidP="00A54ABD">
                  <w:pPr>
                    <w:spacing w:after="0" w:line="240" w:lineRule="auto"/>
                    <w:rPr>
                      <w:rFonts w:eastAsia="Times New Roman" w:cs="Arial"/>
                      <w:color w:val="000000"/>
                    </w:rPr>
                  </w:pPr>
                  <w:r>
                    <w:rPr>
                      <w:rFonts w:eastAsia="Times New Roman" w:cs="Arial"/>
                      <w:color w:val="000000"/>
                    </w:rPr>
                    <w:t>Increase of £1.77 since 2024</w:t>
                  </w:r>
                </w:p>
              </w:tc>
              <w:tc>
                <w:tcPr>
                  <w:tcW w:w="1121" w:type="pct"/>
                  <w:shd w:val="clear" w:color="000000" w:fill="FFFFFF"/>
                  <w:vAlign w:val="center"/>
                </w:tcPr>
                <w:p w14:paraId="414CB04E" w14:textId="77777777" w:rsidR="008D7F61" w:rsidRPr="008E32B4" w:rsidRDefault="008D7F61" w:rsidP="00A54ABD">
                  <w:pPr>
                    <w:spacing w:after="0" w:line="240" w:lineRule="auto"/>
                    <w:rPr>
                      <w:rFonts w:eastAsia="Times New Roman" w:cs="Arial"/>
                      <w:color w:val="000000"/>
                    </w:rPr>
                  </w:pPr>
                  <w:r>
                    <w:rPr>
                      <w:rFonts w:eastAsia="Times New Roman" w:cs="Arial"/>
                      <w:color w:val="000000"/>
                    </w:rPr>
                    <w:t>£19.79</w:t>
                  </w:r>
                </w:p>
              </w:tc>
              <w:tc>
                <w:tcPr>
                  <w:tcW w:w="1122" w:type="pct"/>
                  <w:shd w:val="clear" w:color="000000" w:fill="FFFFFF"/>
                  <w:vAlign w:val="center"/>
                </w:tcPr>
                <w:p w14:paraId="36147801" w14:textId="77777777" w:rsidR="008D7F61" w:rsidRDefault="008D7F61" w:rsidP="00A54ABD">
                  <w:pPr>
                    <w:spacing w:after="0" w:line="240" w:lineRule="auto"/>
                    <w:rPr>
                      <w:rFonts w:eastAsia="Times New Roman" w:cs="Arial"/>
                      <w:color w:val="000000"/>
                    </w:rPr>
                  </w:pPr>
                  <w:r>
                    <w:rPr>
                      <w:rFonts w:eastAsia="Times New Roman" w:cs="Arial"/>
                      <w:color w:val="000000"/>
                    </w:rPr>
                    <w:t>Increase of £1.29 since 2024</w:t>
                  </w:r>
                </w:p>
              </w:tc>
            </w:tr>
          </w:tbl>
          <w:p w14:paraId="3C0D6840" w14:textId="77777777" w:rsidR="008D7F61" w:rsidRDefault="008D7F61" w:rsidP="00A54ABD">
            <w:pPr>
              <w:pStyle w:val="ListParagraph"/>
              <w:numPr>
                <w:ilvl w:val="1"/>
                <w:numId w:val="18"/>
              </w:numPr>
              <w:spacing w:before="120" w:line="276" w:lineRule="auto"/>
              <w:ind w:left="709"/>
              <w:contextualSpacing w:val="0"/>
              <w:jc w:val="both"/>
            </w:pPr>
            <w:r>
              <w:t xml:space="preserve">This shows that our EM staff earn a mean hourly rate of £23.54, whilst White staff earn a mean hourly rate of £23.26. This gives a difference of £0.28, representing a pay gap of 1.2% in favour of EM staff. </w:t>
            </w:r>
          </w:p>
          <w:p w14:paraId="69652C0D" w14:textId="77777777" w:rsidR="008D7F61" w:rsidRPr="000036B6" w:rsidRDefault="008D7F61" w:rsidP="00A54ABD">
            <w:pPr>
              <w:pStyle w:val="ListParagraph"/>
              <w:numPr>
                <w:ilvl w:val="1"/>
                <w:numId w:val="18"/>
              </w:numPr>
              <w:spacing w:line="276" w:lineRule="auto"/>
              <w:ind w:left="709"/>
              <w:contextualSpacing w:val="0"/>
              <w:jc w:val="both"/>
            </w:pPr>
            <w:r w:rsidRPr="000036B6">
              <w:t xml:space="preserve">The median hourly rate for EM staff is £20.46, compared to a median hourly rate of £19.79 for White staff. This gives a difference of £0.67 and a pay gap of 3.4% in favour of EM staff. </w:t>
            </w:r>
          </w:p>
          <w:p w14:paraId="68C161F4" w14:textId="77777777" w:rsidR="008D7F61" w:rsidRPr="00BE61DC" w:rsidRDefault="008D7F61" w:rsidP="00A54ABD">
            <w:pPr>
              <w:pStyle w:val="ListParagraph"/>
              <w:numPr>
                <w:ilvl w:val="1"/>
                <w:numId w:val="18"/>
              </w:numPr>
              <w:spacing w:line="276" w:lineRule="auto"/>
              <w:ind w:left="709"/>
              <w:contextualSpacing w:val="0"/>
              <w:jc w:val="both"/>
              <w:rPr>
                <w:rFonts w:cs="Arial"/>
              </w:rPr>
            </w:pPr>
            <w:r w:rsidRPr="00BE61DC">
              <w:rPr>
                <w:rFonts w:cs="Arial"/>
              </w:rPr>
              <w:t xml:space="preserve">The </w:t>
            </w:r>
            <w:r w:rsidRPr="00A54ABD">
              <w:t>mean</w:t>
            </w:r>
            <w:r w:rsidRPr="00BE61DC">
              <w:rPr>
                <w:rFonts w:cs="Arial"/>
              </w:rPr>
              <w:t xml:space="preserve"> </w:t>
            </w:r>
            <w:r>
              <w:rPr>
                <w:rFonts w:cs="Arial"/>
              </w:rPr>
              <w:t>hourly rate</w:t>
            </w:r>
            <w:r w:rsidRPr="00BE61DC">
              <w:rPr>
                <w:rFonts w:cs="Arial"/>
              </w:rPr>
              <w:t xml:space="preserve"> for NULL is £</w:t>
            </w:r>
            <w:r>
              <w:rPr>
                <w:rFonts w:cs="Arial"/>
              </w:rPr>
              <w:t xml:space="preserve">23.85 </w:t>
            </w:r>
            <w:r w:rsidRPr="00BE61DC">
              <w:rPr>
                <w:rFonts w:cs="Arial"/>
              </w:rPr>
              <w:t xml:space="preserve">and </w:t>
            </w:r>
            <w:r>
              <w:rPr>
                <w:rFonts w:cs="Arial"/>
              </w:rPr>
              <w:t xml:space="preserve">the </w:t>
            </w:r>
            <w:r w:rsidRPr="00BE61DC">
              <w:rPr>
                <w:rFonts w:cs="Arial"/>
              </w:rPr>
              <w:t xml:space="preserve">median </w:t>
            </w:r>
            <w:r>
              <w:rPr>
                <w:rFonts w:cs="Arial"/>
              </w:rPr>
              <w:t>is</w:t>
            </w:r>
            <w:r w:rsidRPr="00BE61DC">
              <w:rPr>
                <w:rFonts w:cs="Arial"/>
              </w:rPr>
              <w:t xml:space="preserve"> £</w:t>
            </w:r>
            <w:r>
              <w:rPr>
                <w:rFonts w:cs="Arial"/>
              </w:rPr>
              <w:t>20.66</w:t>
            </w:r>
            <w:r w:rsidRPr="00BE61DC">
              <w:rPr>
                <w:rFonts w:cs="Arial"/>
              </w:rPr>
              <w:t>.</w:t>
            </w:r>
          </w:p>
          <w:p w14:paraId="5DD7CDC4" w14:textId="77777777" w:rsidR="008D7F61" w:rsidRPr="00BE61DC" w:rsidRDefault="008D7F61" w:rsidP="00A54ABD">
            <w:pPr>
              <w:pStyle w:val="ListParagraph"/>
              <w:numPr>
                <w:ilvl w:val="1"/>
                <w:numId w:val="18"/>
              </w:numPr>
              <w:spacing w:line="276" w:lineRule="auto"/>
              <w:ind w:left="709"/>
              <w:contextualSpacing w:val="0"/>
              <w:jc w:val="both"/>
              <w:rPr>
                <w:rFonts w:cs="Arial"/>
              </w:rPr>
            </w:pPr>
            <w:r w:rsidRPr="00BE61DC">
              <w:rPr>
                <w:rFonts w:cs="Arial"/>
              </w:rPr>
              <w:t xml:space="preserve">The </w:t>
            </w:r>
            <w:r w:rsidRPr="00A54ABD">
              <w:t>mean</w:t>
            </w:r>
            <w:r w:rsidRPr="00BE61DC">
              <w:rPr>
                <w:rFonts w:cs="Arial"/>
              </w:rPr>
              <w:t xml:space="preserve"> </w:t>
            </w:r>
            <w:r>
              <w:rPr>
                <w:rFonts w:cs="Arial"/>
              </w:rPr>
              <w:t>hourly rate</w:t>
            </w:r>
            <w:r w:rsidRPr="00BE61DC">
              <w:rPr>
                <w:rFonts w:cs="Arial"/>
              </w:rPr>
              <w:t xml:space="preserve"> for Not Stated is £</w:t>
            </w:r>
            <w:r>
              <w:rPr>
                <w:rFonts w:cs="Arial"/>
              </w:rPr>
              <w:t>23.13</w:t>
            </w:r>
            <w:r w:rsidRPr="00BE61DC">
              <w:rPr>
                <w:rFonts w:cs="Arial"/>
              </w:rPr>
              <w:t xml:space="preserve"> and</w:t>
            </w:r>
            <w:r>
              <w:rPr>
                <w:rFonts w:cs="Arial"/>
              </w:rPr>
              <w:t xml:space="preserve"> the</w:t>
            </w:r>
            <w:r w:rsidRPr="00BE61DC">
              <w:rPr>
                <w:rFonts w:cs="Arial"/>
              </w:rPr>
              <w:t xml:space="preserve"> median </w:t>
            </w:r>
            <w:r>
              <w:rPr>
                <w:rFonts w:cs="Arial"/>
              </w:rPr>
              <w:t xml:space="preserve">is </w:t>
            </w:r>
            <w:r w:rsidRPr="00BE61DC">
              <w:rPr>
                <w:rFonts w:cs="Arial"/>
              </w:rPr>
              <w:t>£</w:t>
            </w:r>
            <w:r>
              <w:rPr>
                <w:rFonts w:cs="Arial"/>
              </w:rPr>
              <w:t>21.01.</w:t>
            </w:r>
          </w:p>
          <w:p w14:paraId="3AFDC945" w14:textId="77777777" w:rsidR="008D7F61" w:rsidRDefault="008D7F61" w:rsidP="00A54ABD">
            <w:pPr>
              <w:pStyle w:val="ListParagraph"/>
              <w:numPr>
                <w:ilvl w:val="1"/>
                <w:numId w:val="18"/>
              </w:numPr>
              <w:spacing w:line="276" w:lineRule="auto"/>
              <w:ind w:left="709"/>
              <w:contextualSpacing w:val="0"/>
              <w:jc w:val="both"/>
              <w:rPr>
                <w:rFonts w:cs="Arial"/>
              </w:rPr>
            </w:pPr>
            <w:r w:rsidRPr="00BE61DC">
              <w:rPr>
                <w:rFonts w:cs="Arial"/>
              </w:rPr>
              <w:t xml:space="preserve">The mean </w:t>
            </w:r>
            <w:r w:rsidRPr="00A54ABD">
              <w:t>hourly</w:t>
            </w:r>
            <w:r>
              <w:rPr>
                <w:rFonts w:cs="Arial"/>
              </w:rPr>
              <w:t xml:space="preserve"> rate</w:t>
            </w:r>
            <w:r w:rsidRPr="00BE61DC">
              <w:rPr>
                <w:rFonts w:cs="Arial"/>
              </w:rPr>
              <w:t xml:space="preserve"> for Other is £</w:t>
            </w:r>
            <w:r>
              <w:rPr>
                <w:rFonts w:cs="Arial"/>
              </w:rPr>
              <w:t>24.69</w:t>
            </w:r>
            <w:r w:rsidRPr="00BE61DC">
              <w:rPr>
                <w:rFonts w:cs="Arial"/>
              </w:rPr>
              <w:t xml:space="preserve"> and </w:t>
            </w:r>
            <w:r>
              <w:rPr>
                <w:rFonts w:cs="Arial"/>
              </w:rPr>
              <w:t xml:space="preserve">the </w:t>
            </w:r>
            <w:r w:rsidRPr="00BE61DC">
              <w:rPr>
                <w:rFonts w:cs="Arial"/>
              </w:rPr>
              <w:t>median</w:t>
            </w:r>
            <w:r>
              <w:rPr>
                <w:rFonts w:cs="Arial"/>
              </w:rPr>
              <w:t xml:space="preserve"> is</w:t>
            </w:r>
            <w:r w:rsidRPr="00BE61DC">
              <w:rPr>
                <w:rFonts w:cs="Arial"/>
              </w:rPr>
              <w:t xml:space="preserve"> £</w:t>
            </w:r>
            <w:r>
              <w:rPr>
                <w:rFonts w:cs="Arial"/>
              </w:rPr>
              <w:t>21.82</w:t>
            </w:r>
          </w:p>
          <w:p w14:paraId="67D31957" w14:textId="228F0490" w:rsidR="008650AE" w:rsidRDefault="008D7F61" w:rsidP="008650AE">
            <w:pPr>
              <w:pStyle w:val="ListParagraph"/>
              <w:numPr>
                <w:ilvl w:val="1"/>
                <w:numId w:val="18"/>
              </w:numPr>
              <w:spacing w:after="120" w:line="276" w:lineRule="auto"/>
              <w:ind w:left="709"/>
              <w:contextualSpacing w:val="0"/>
              <w:jc w:val="both"/>
            </w:pPr>
            <w:r>
              <w:t xml:space="preserve">Staff who declare their ethnicity in the ‘Other’ category earn the highest on average, with those not stating their ethnicity the earning the lowest on average. </w:t>
            </w:r>
          </w:p>
          <w:p w14:paraId="4348E243" w14:textId="5D9D0BB9" w:rsidR="008D7F61" w:rsidRPr="00A54ABD" w:rsidRDefault="008D7F61" w:rsidP="008650AE">
            <w:pPr>
              <w:pStyle w:val="Heading1"/>
              <w:numPr>
                <w:ilvl w:val="0"/>
                <w:numId w:val="12"/>
              </w:numPr>
              <w:spacing w:after="0"/>
              <w:ind w:left="709" w:hanging="709"/>
              <w:rPr>
                <w:b w:val="0"/>
                <w:bCs/>
                <w:sz w:val="24"/>
                <w:szCs w:val="24"/>
              </w:rPr>
            </w:pPr>
            <w:r w:rsidRPr="00A54ABD">
              <w:rPr>
                <w:bCs/>
                <w:sz w:val="24"/>
                <w:szCs w:val="24"/>
              </w:rPr>
              <w:t xml:space="preserve">Pay </w:t>
            </w:r>
            <w:r w:rsidRPr="00A54ABD">
              <w:rPr>
                <w:rFonts w:cs="Arial"/>
                <w:bCs/>
                <w:color w:val="auto"/>
                <w:sz w:val="24"/>
                <w:szCs w:val="24"/>
              </w:rPr>
              <w:t>Quartiles</w:t>
            </w:r>
          </w:p>
          <w:tbl>
            <w:tblPr>
              <w:tblW w:w="4962"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23"/>
              <w:gridCol w:w="870"/>
              <w:gridCol w:w="857"/>
              <w:gridCol w:w="897"/>
              <w:gridCol w:w="856"/>
              <w:gridCol w:w="1416"/>
              <w:gridCol w:w="857"/>
              <w:gridCol w:w="1696"/>
              <w:gridCol w:w="1576"/>
            </w:tblGrid>
            <w:tr w:rsidR="00A54ABD" w:rsidRPr="00050954" w14:paraId="7FEE5A3E" w14:textId="77777777" w:rsidTr="00A54ABD">
              <w:trPr>
                <w:trHeight w:val="300"/>
              </w:trPr>
              <w:tc>
                <w:tcPr>
                  <w:tcW w:w="635" w:type="pct"/>
                  <w:tcBorders>
                    <w:right w:val="nil"/>
                  </w:tcBorders>
                  <w:shd w:val="clear" w:color="auto" w:fill="0070C0"/>
                  <w:vAlign w:val="center"/>
                  <w:hideMark/>
                </w:tcPr>
                <w:p w14:paraId="5E1CEB12"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lastRenderedPageBreak/>
                    <w:t>Quartile</w:t>
                  </w:r>
                </w:p>
                <w:p w14:paraId="1672FD5D" w14:textId="77777777" w:rsidR="008D7F61" w:rsidRPr="00A54ABD" w:rsidRDefault="008D7F61" w:rsidP="00A54ABD">
                  <w:pPr>
                    <w:spacing w:after="0" w:line="240" w:lineRule="auto"/>
                    <w:rPr>
                      <w:rFonts w:eastAsia="Times New Roman" w:cs="Arial"/>
                      <w:b/>
                      <w:bCs/>
                      <w:color w:val="FFFFFF"/>
                    </w:rPr>
                  </w:pPr>
                </w:p>
                <w:p w14:paraId="546E9ADF" w14:textId="77777777" w:rsidR="008D7F61" w:rsidRPr="00A54ABD" w:rsidRDefault="008D7F61" w:rsidP="00A54ABD">
                  <w:pPr>
                    <w:spacing w:after="0" w:line="240" w:lineRule="auto"/>
                    <w:rPr>
                      <w:rFonts w:eastAsia="Times New Roman" w:cs="Arial"/>
                      <w:b/>
                      <w:bCs/>
                      <w:color w:val="FFFFFF"/>
                    </w:rPr>
                  </w:pPr>
                </w:p>
              </w:tc>
              <w:tc>
                <w:tcPr>
                  <w:tcW w:w="546" w:type="pct"/>
                  <w:tcBorders>
                    <w:top w:val="nil"/>
                    <w:left w:val="nil"/>
                    <w:bottom w:val="nil"/>
                    <w:right w:val="single" w:sz="4" w:space="0" w:color="0070C0"/>
                  </w:tcBorders>
                  <w:shd w:val="clear" w:color="auto" w:fill="0070C0"/>
                  <w:noWrap/>
                  <w:vAlign w:val="center"/>
                  <w:hideMark/>
                </w:tcPr>
                <w:p w14:paraId="32383ECB"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Asian</w:t>
                  </w:r>
                </w:p>
              </w:tc>
              <w:tc>
                <w:tcPr>
                  <w:tcW w:w="546" w:type="pct"/>
                  <w:tcBorders>
                    <w:top w:val="nil"/>
                    <w:left w:val="single" w:sz="4" w:space="0" w:color="0070C0"/>
                    <w:bottom w:val="nil"/>
                    <w:right w:val="nil"/>
                  </w:tcBorders>
                  <w:shd w:val="clear" w:color="auto" w:fill="0070C0"/>
                  <w:noWrap/>
                  <w:vAlign w:val="center"/>
                  <w:hideMark/>
                </w:tcPr>
                <w:p w14:paraId="32CDCD29"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Black</w:t>
                  </w:r>
                </w:p>
              </w:tc>
              <w:tc>
                <w:tcPr>
                  <w:tcW w:w="546" w:type="pct"/>
                  <w:tcBorders>
                    <w:left w:val="nil"/>
                  </w:tcBorders>
                  <w:shd w:val="clear" w:color="auto" w:fill="0070C0"/>
                  <w:noWrap/>
                  <w:vAlign w:val="center"/>
                  <w:hideMark/>
                </w:tcPr>
                <w:p w14:paraId="1C446873"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Mixed</w:t>
                  </w:r>
                </w:p>
              </w:tc>
              <w:tc>
                <w:tcPr>
                  <w:tcW w:w="546" w:type="pct"/>
                  <w:shd w:val="clear" w:color="auto" w:fill="0070C0"/>
                  <w:noWrap/>
                  <w:vAlign w:val="center"/>
                  <w:hideMark/>
                </w:tcPr>
                <w:p w14:paraId="0767D35B"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NULL</w:t>
                  </w:r>
                </w:p>
              </w:tc>
              <w:tc>
                <w:tcPr>
                  <w:tcW w:w="546" w:type="pct"/>
                  <w:shd w:val="clear" w:color="auto" w:fill="0070C0"/>
                  <w:noWrap/>
                  <w:vAlign w:val="center"/>
                  <w:hideMark/>
                </w:tcPr>
                <w:p w14:paraId="3523F9CA"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Not Stated</w:t>
                  </w:r>
                </w:p>
              </w:tc>
              <w:tc>
                <w:tcPr>
                  <w:tcW w:w="546" w:type="pct"/>
                  <w:shd w:val="clear" w:color="auto" w:fill="0070C0"/>
                  <w:noWrap/>
                  <w:vAlign w:val="center"/>
                  <w:hideMark/>
                </w:tcPr>
                <w:p w14:paraId="403288E8"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Other</w:t>
                  </w:r>
                </w:p>
              </w:tc>
              <w:tc>
                <w:tcPr>
                  <w:tcW w:w="546" w:type="pct"/>
                  <w:shd w:val="clear" w:color="auto" w:fill="0070C0"/>
                  <w:noWrap/>
                  <w:vAlign w:val="center"/>
                  <w:hideMark/>
                </w:tcPr>
                <w:p w14:paraId="6DBB13E8"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White British</w:t>
                  </w:r>
                </w:p>
              </w:tc>
              <w:tc>
                <w:tcPr>
                  <w:tcW w:w="546" w:type="pct"/>
                  <w:shd w:val="clear" w:color="auto" w:fill="0070C0"/>
                  <w:noWrap/>
                  <w:vAlign w:val="center"/>
                  <w:hideMark/>
                </w:tcPr>
                <w:p w14:paraId="3CF78D23"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White Other</w:t>
                  </w:r>
                </w:p>
              </w:tc>
            </w:tr>
            <w:tr w:rsidR="00A54ABD" w:rsidRPr="00050954" w14:paraId="3A2A6C50" w14:textId="77777777" w:rsidTr="00A54ABD">
              <w:trPr>
                <w:trHeight w:val="300"/>
              </w:trPr>
              <w:tc>
                <w:tcPr>
                  <w:tcW w:w="635" w:type="pct"/>
                  <w:shd w:val="clear" w:color="auto" w:fill="0070C0"/>
                  <w:vAlign w:val="center"/>
                  <w:hideMark/>
                </w:tcPr>
                <w:p w14:paraId="7608F741"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1</w:t>
                  </w:r>
                </w:p>
              </w:tc>
              <w:tc>
                <w:tcPr>
                  <w:tcW w:w="546" w:type="pct"/>
                  <w:tcBorders>
                    <w:top w:val="nil"/>
                  </w:tcBorders>
                  <w:shd w:val="clear" w:color="000000" w:fill="FFFFFF"/>
                  <w:vAlign w:val="center"/>
                </w:tcPr>
                <w:p w14:paraId="510266D5"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197</w:t>
                  </w:r>
                </w:p>
              </w:tc>
              <w:tc>
                <w:tcPr>
                  <w:tcW w:w="546" w:type="pct"/>
                  <w:tcBorders>
                    <w:top w:val="nil"/>
                  </w:tcBorders>
                  <w:shd w:val="clear" w:color="000000" w:fill="FFFFFF"/>
                  <w:vAlign w:val="center"/>
                </w:tcPr>
                <w:p w14:paraId="642FDAB5"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115</w:t>
                  </w:r>
                </w:p>
              </w:tc>
              <w:tc>
                <w:tcPr>
                  <w:tcW w:w="546" w:type="pct"/>
                  <w:shd w:val="clear" w:color="000000" w:fill="FFFFFF"/>
                  <w:vAlign w:val="center"/>
                </w:tcPr>
                <w:p w14:paraId="1AE65016"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50</w:t>
                  </w:r>
                </w:p>
              </w:tc>
              <w:tc>
                <w:tcPr>
                  <w:tcW w:w="546" w:type="pct"/>
                  <w:shd w:val="clear" w:color="000000" w:fill="FFFFFF"/>
                  <w:vAlign w:val="center"/>
                </w:tcPr>
                <w:p w14:paraId="109B18EA"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77</w:t>
                  </w:r>
                </w:p>
              </w:tc>
              <w:tc>
                <w:tcPr>
                  <w:tcW w:w="546" w:type="pct"/>
                  <w:shd w:val="clear" w:color="000000" w:fill="FFFFFF"/>
                  <w:vAlign w:val="center"/>
                </w:tcPr>
                <w:p w14:paraId="29176FF9"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88</w:t>
                  </w:r>
                </w:p>
              </w:tc>
              <w:tc>
                <w:tcPr>
                  <w:tcW w:w="546" w:type="pct"/>
                  <w:shd w:val="clear" w:color="000000" w:fill="FFFFFF"/>
                  <w:vAlign w:val="center"/>
                </w:tcPr>
                <w:p w14:paraId="032F6852"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25</w:t>
                  </w:r>
                </w:p>
              </w:tc>
              <w:tc>
                <w:tcPr>
                  <w:tcW w:w="546" w:type="pct"/>
                  <w:shd w:val="clear" w:color="000000" w:fill="FFFFFF"/>
                  <w:vAlign w:val="center"/>
                </w:tcPr>
                <w:p w14:paraId="4CC1C27E"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1,653</w:t>
                  </w:r>
                </w:p>
              </w:tc>
              <w:tc>
                <w:tcPr>
                  <w:tcW w:w="546" w:type="pct"/>
                  <w:shd w:val="clear" w:color="000000" w:fill="FFFFFF"/>
                  <w:vAlign w:val="center"/>
                </w:tcPr>
                <w:p w14:paraId="404F382A"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119</w:t>
                  </w:r>
                </w:p>
              </w:tc>
            </w:tr>
            <w:tr w:rsidR="00A54ABD" w:rsidRPr="00050954" w14:paraId="764772BA" w14:textId="77777777" w:rsidTr="00A54ABD">
              <w:trPr>
                <w:trHeight w:val="300"/>
              </w:trPr>
              <w:tc>
                <w:tcPr>
                  <w:tcW w:w="635" w:type="pct"/>
                  <w:shd w:val="clear" w:color="auto" w:fill="0070C0"/>
                  <w:vAlign w:val="center"/>
                  <w:hideMark/>
                </w:tcPr>
                <w:p w14:paraId="088A16BA"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2</w:t>
                  </w:r>
                </w:p>
              </w:tc>
              <w:tc>
                <w:tcPr>
                  <w:tcW w:w="546" w:type="pct"/>
                  <w:shd w:val="clear" w:color="000000" w:fill="FFFFFF"/>
                  <w:vAlign w:val="center"/>
                </w:tcPr>
                <w:p w14:paraId="349692FF"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436</w:t>
                  </w:r>
                </w:p>
              </w:tc>
              <w:tc>
                <w:tcPr>
                  <w:tcW w:w="546" w:type="pct"/>
                  <w:shd w:val="clear" w:color="000000" w:fill="FFFFFF"/>
                  <w:vAlign w:val="center"/>
                </w:tcPr>
                <w:p w14:paraId="0F9207AC"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139</w:t>
                  </w:r>
                </w:p>
              </w:tc>
              <w:tc>
                <w:tcPr>
                  <w:tcW w:w="546" w:type="pct"/>
                  <w:shd w:val="clear" w:color="000000" w:fill="FFFFFF"/>
                  <w:vAlign w:val="center"/>
                </w:tcPr>
                <w:p w14:paraId="703D0C73"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44</w:t>
                  </w:r>
                </w:p>
              </w:tc>
              <w:tc>
                <w:tcPr>
                  <w:tcW w:w="546" w:type="pct"/>
                  <w:shd w:val="clear" w:color="000000" w:fill="FFFFFF"/>
                  <w:vAlign w:val="center"/>
                </w:tcPr>
                <w:p w14:paraId="7113961B"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170</w:t>
                  </w:r>
                </w:p>
              </w:tc>
              <w:tc>
                <w:tcPr>
                  <w:tcW w:w="546" w:type="pct"/>
                  <w:shd w:val="clear" w:color="000000" w:fill="FFFFFF"/>
                  <w:vAlign w:val="center"/>
                </w:tcPr>
                <w:p w14:paraId="17726D3E"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153</w:t>
                  </w:r>
                </w:p>
              </w:tc>
              <w:tc>
                <w:tcPr>
                  <w:tcW w:w="546" w:type="pct"/>
                  <w:shd w:val="clear" w:color="000000" w:fill="FFFFFF"/>
                  <w:vAlign w:val="center"/>
                </w:tcPr>
                <w:p w14:paraId="1BD59880"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41</w:t>
                  </w:r>
                </w:p>
              </w:tc>
              <w:tc>
                <w:tcPr>
                  <w:tcW w:w="546" w:type="pct"/>
                  <w:shd w:val="clear" w:color="000000" w:fill="FFFFFF"/>
                  <w:vAlign w:val="center"/>
                </w:tcPr>
                <w:p w14:paraId="6C482A15"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1,261</w:t>
                  </w:r>
                </w:p>
              </w:tc>
              <w:tc>
                <w:tcPr>
                  <w:tcW w:w="546" w:type="pct"/>
                  <w:shd w:val="clear" w:color="000000" w:fill="FFFFFF"/>
                  <w:vAlign w:val="center"/>
                </w:tcPr>
                <w:p w14:paraId="278361B0"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125</w:t>
                  </w:r>
                </w:p>
              </w:tc>
            </w:tr>
            <w:tr w:rsidR="00A54ABD" w:rsidRPr="00050954" w14:paraId="31883EC7" w14:textId="77777777" w:rsidTr="00A54ABD">
              <w:trPr>
                <w:trHeight w:val="300"/>
              </w:trPr>
              <w:tc>
                <w:tcPr>
                  <w:tcW w:w="635" w:type="pct"/>
                  <w:shd w:val="clear" w:color="auto" w:fill="0070C0"/>
                  <w:vAlign w:val="center"/>
                  <w:hideMark/>
                </w:tcPr>
                <w:p w14:paraId="2E0948F3"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3</w:t>
                  </w:r>
                </w:p>
              </w:tc>
              <w:tc>
                <w:tcPr>
                  <w:tcW w:w="546" w:type="pct"/>
                  <w:shd w:val="clear" w:color="000000" w:fill="FFFFFF"/>
                  <w:vAlign w:val="center"/>
                </w:tcPr>
                <w:p w14:paraId="35406406"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423</w:t>
                  </w:r>
                </w:p>
              </w:tc>
              <w:tc>
                <w:tcPr>
                  <w:tcW w:w="546" w:type="pct"/>
                  <w:shd w:val="clear" w:color="000000" w:fill="FFFFFF"/>
                  <w:vAlign w:val="center"/>
                </w:tcPr>
                <w:p w14:paraId="024A1A8B"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121</w:t>
                  </w:r>
                </w:p>
              </w:tc>
              <w:tc>
                <w:tcPr>
                  <w:tcW w:w="546" w:type="pct"/>
                  <w:shd w:val="clear" w:color="000000" w:fill="FFFFFF"/>
                  <w:vAlign w:val="center"/>
                </w:tcPr>
                <w:p w14:paraId="6FE8EA3C"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29</w:t>
                  </w:r>
                </w:p>
              </w:tc>
              <w:tc>
                <w:tcPr>
                  <w:tcW w:w="546" w:type="pct"/>
                  <w:shd w:val="clear" w:color="000000" w:fill="FFFFFF"/>
                  <w:vAlign w:val="center"/>
                </w:tcPr>
                <w:p w14:paraId="556EF24A"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73</w:t>
                  </w:r>
                </w:p>
              </w:tc>
              <w:tc>
                <w:tcPr>
                  <w:tcW w:w="546" w:type="pct"/>
                  <w:shd w:val="clear" w:color="000000" w:fill="FFFFFF"/>
                  <w:vAlign w:val="center"/>
                </w:tcPr>
                <w:p w14:paraId="1C51E06B"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143</w:t>
                  </w:r>
                </w:p>
              </w:tc>
              <w:tc>
                <w:tcPr>
                  <w:tcW w:w="546" w:type="pct"/>
                  <w:shd w:val="clear" w:color="000000" w:fill="FFFFFF"/>
                  <w:vAlign w:val="center"/>
                </w:tcPr>
                <w:p w14:paraId="0C1B330E"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48</w:t>
                  </w:r>
                </w:p>
              </w:tc>
              <w:tc>
                <w:tcPr>
                  <w:tcW w:w="546" w:type="pct"/>
                  <w:shd w:val="clear" w:color="000000" w:fill="FFFFFF"/>
                  <w:vAlign w:val="center"/>
                </w:tcPr>
                <w:p w14:paraId="0A824CD2"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1,351</w:t>
                  </w:r>
                </w:p>
              </w:tc>
              <w:tc>
                <w:tcPr>
                  <w:tcW w:w="546" w:type="pct"/>
                  <w:shd w:val="clear" w:color="000000" w:fill="FFFFFF"/>
                  <w:vAlign w:val="center"/>
                </w:tcPr>
                <w:p w14:paraId="43C9D8A0"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125</w:t>
                  </w:r>
                </w:p>
              </w:tc>
            </w:tr>
            <w:tr w:rsidR="00A54ABD" w:rsidRPr="00050954" w14:paraId="2FCF3996" w14:textId="77777777" w:rsidTr="00A54ABD">
              <w:trPr>
                <w:trHeight w:val="300"/>
              </w:trPr>
              <w:tc>
                <w:tcPr>
                  <w:tcW w:w="635" w:type="pct"/>
                  <w:shd w:val="clear" w:color="auto" w:fill="0070C0"/>
                  <w:vAlign w:val="center"/>
                  <w:hideMark/>
                </w:tcPr>
                <w:p w14:paraId="52DD2B2A" w14:textId="77777777" w:rsidR="008D7F61" w:rsidRPr="00A54ABD" w:rsidRDefault="008D7F61" w:rsidP="00A54ABD">
                  <w:pPr>
                    <w:spacing w:after="0" w:line="240" w:lineRule="auto"/>
                    <w:rPr>
                      <w:rFonts w:eastAsia="Times New Roman" w:cs="Arial"/>
                      <w:b/>
                      <w:bCs/>
                      <w:color w:val="FFFFFF"/>
                    </w:rPr>
                  </w:pPr>
                  <w:r w:rsidRPr="00A54ABD">
                    <w:rPr>
                      <w:rFonts w:eastAsia="Times New Roman" w:cs="Arial"/>
                      <w:b/>
                      <w:bCs/>
                      <w:color w:val="FFFFFF"/>
                    </w:rPr>
                    <w:t>4</w:t>
                  </w:r>
                </w:p>
              </w:tc>
              <w:tc>
                <w:tcPr>
                  <w:tcW w:w="546" w:type="pct"/>
                  <w:shd w:val="clear" w:color="000000" w:fill="FFFFFF"/>
                  <w:vAlign w:val="center"/>
                </w:tcPr>
                <w:p w14:paraId="09CDC00E"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338</w:t>
                  </w:r>
                </w:p>
              </w:tc>
              <w:tc>
                <w:tcPr>
                  <w:tcW w:w="546" w:type="pct"/>
                  <w:shd w:val="clear" w:color="000000" w:fill="FFFFFF"/>
                  <w:vAlign w:val="center"/>
                </w:tcPr>
                <w:p w14:paraId="354D8BBD"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117</w:t>
                  </w:r>
                </w:p>
              </w:tc>
              <w:tc>
                <w:tcPr>
                  <w:tcW w:w="546" w:type="pct"/>
                  <w:shd w:val="clear" w:color="000000" w:fill="FFFFFF"/>
                  <w:vAlign w:val="center"/>
                </w:tcPr>
                <w:p w14:paraId="7AF6A367"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61</w:t>
                  </w:r>
                </w:p>
              </w:tc>
              <w:tc>
                <w:tcPr>
                  <w:tcW w:w="546" w:type="pct"/>
                  <w:shd w:val="clear" w:color="000000" w:fill="FFFFFF"/>
                  <w:vAlign w:val="center"/>
                </w:tcPr>
                <w:p w14:paraId="62E7AD23"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110</w:t>
                  </w:r>
                </w:p>
              </w:tc>
              <w:tc>
                <w:tcPr>
                  <w:tcW w:w="546" w:type="pct"/>
                  <w:shd w:val="clear" w:color="000000" w:fill="FFFFFF"/>
                  <w:vAlign w:val="center"/>
                </w:tcPr>
                <w:p w14:paraId="6CEA0854"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142</w:t>
                  </w:r>
                </w:p>
              </w:tc>
              <w:tc>
                <w:tcPr>
                  <w:tcW w:w="546" w:type="pct"/>
                  <w:shd w:val="clear" w:color="000000" w:fill="FFFFFF"/>
                  <w:vAlign w:val="center"/>
                </w:tcPr>
                <w:p w14:paraId="694E7EF1"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45</w:t>
                  </w:r>
                </w:p>
              </w:tc>
              <w:tc>
                <w:tcPr>
                  <w:tcW w:w="546" w:type="pct"/>
                  <w:shd w:val="clear" w:color="000000" w:fill="FFFFFF"/>
                  <w:vAlign w:val="center"/>
                </w:tcPr>
                <w:p w14:paraId="0368CA48"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1,415</w:t>
                  </w:r>
                </w:p>
              </w:tc>
              <w:tc>
                <w:tcPr>
                  <w:tcW w:w="546" w:type="pct"/>
                  <w:shd w:val="clear" w:color="000000" w:fill="FFFFFF"/>
                  <w:vAlign w:val="center"/>
                </w:tcPr>
                <w:p w14:paraId="6624E0C1" w14:textId="77777777" w:rsidR="008D7F61" w:rsidRPr="00050954" w:rsidRDefault="008D7F61" w:rsidP="00A54ABD">
                  <w:pPr>
                    <w:spacing w:after="0" w:line="240" w:lineRule="auto"/>
                    <w:rPr>
                      <w:rFonts w:eastAsia="Times New Roman" w:cs="Arial"/>
                      <w:color w:val="000000"/>
                    </w:rPr>
                  </w:pPr>
                  <w:r>
                    <w:rPr>
                      <w:rFonts w:eastAsia="Times New Roman" w:cs="Arial"/>
                      <w:color w:val="000000"/>
                    </w:rPr>
                    <w:t>155</w:t>
                  </w:r>
                </w:p>
              </w:tc>
            </w:tr>
          </w:tbl>
          <w:p w14:paraId="0B82C435" w14:textId="77777777" w:rsidR="00A54ABD" w:rsidRPr="00A54ABD" w:rsidRDefault="00A54ABD" w:rsidP="00A54ABD">
            <w:pPr>
              <w:pStyle w:val="ListParagraph"/>
              <w:numPr>
                <w:ilvl w:val="0"/>
                <w:numId w:val="18"/>
              </w:numPr>
              <w:spacing w:before="120" w:after="120" w:line="276" w:lineRule="auto"/>
              <w:contextualSpacing w:val="0"/>
              <w:jc w:val="both"/>
              <w:rPr>
                <w:vanish/>
              </w:rPr>
            </w:pPr>
          </w:p>
          <w:p w14:paraId="3BE0F16E" w14:textId="7837B0B3" w:rsidR="008D7F61" w:rsidRDefault="008D7F61" w:rsidP="00A54ABD">
            <w:pPr>
              <w:pStyle w:val="ListParagraph"/>
              <w:numPr>
                <w:ilvl w:val="1"/>
                <w:numId w:val="18"/>
              </w:numPr>
              <w:spacing w:before="120" w:after="120" w:line="276" w:lineRule="auto"/>
              <w:ind w:left="709"/>
              <w:contextualSpacing w:val="0"/>
              <w:jc w:val="both"/>
            </w:pPr>
            <w:r>
              <w:t xml:space="preserve">White British staff are the largest ethnic group across all pay quartiles, with Asian individuals following. Black staff have smaller representation, peaking in </w:t>
            </w:r>
            <w:r w:rsidRPr="00C82CBA">
              <w:t>Quartile 2,</w:t>
            </w:r>
            <w:r>
              <w:t xml:space="preserve"> and the Mixed group peaks in </w:t>
            </w:r>
            <w:r w:rsidRPr="00C82CBA">
              <w:t>Quartile 4.</w:t>
            </w:r>
            <w:r w:rsidRPr="000036B6">
              <w:rPr>
                <w:b/>
                <w:bCs/>
              </w:rPr>
              <w:t xml:space="preserve"> </w:t>
            </w:r>
            <w:r>
              <w:t xml:space="preserve">A significant number of staff haven't stated their ethnicity, particularly in </w:t>
            </w:r>
            <w:r w:rsidRPr="00C82CBA">
              <w:t>Quartiles 2, 3 and 4.</w:t>
            </w:r>
            <w:r w:rsidRPr="000A365E">
              <w:t xml:space="preserve"> There are fewer people in the "Other" category, with their numbers remaining </w:t>
            </w:r>
            <w:r>
              <w:t xml:space="preserve">relatively </w:t>
            </w:r>
            <w:r w:rsidRPr="000A365E">
              <w:t>consistent across the quartiles</w:t>
            </w:r>
            <w:r>
              <w:t xml:space="preserve"> 2, 3 and 4</w:t>
            </w:r>
            <w:r w:rsidRPr="000A365E">
              <w:t>.</w:t>
            </w:r>
          </w:p>
          <w:p w14:paraId="2D5F8071" w14:textId="30D6213B" w:rsidR="008D7F61" w:rsidRPr="008D7F61" w:rsidRDefault="008D7F61" w:rsidP="008650AE">
            <w:pPr>
              <w:pStyle w:val="Heading1"/>
              <w:numPr>
                <w:ilvl w:val="0"/>
                <w:numId w:val="12"/>
              </w:numPr>
              <w:spacing w:after="0"/>
              <w:ind w:left="709" w:hanging="709"/>
              <w:rPr>
                <w:rFonts w:eastAsia="Times New Roman" w:cs="Arial"/>
                <w:b w:val="0"/>
                <w:bCs/>
                <w:color w:val="auto"/>
                <w:sz w:val="24"/>
                <w:szCs w:val="24"/>
              </w:rPr>
            </w:pPr>
            <w:r w:rsidRPr="00A54ABD">
              <w:rPr>
                <w:bCs/>
                <w:sz w:val="24"/>
                <w:szCs w:val="24"/>
              </w:rPr>
              <w:t>Ethnicity</w:t>
            </w:r>
            <w:r w:rsidRPr="008D7F61">
              <w:rPr>
                <w:rFonts w:eastAsia="Times New Roman" w:cs="Arial"/>
                <w:bCs/>
                <w:color w:val="auto"/>
                <w:sz w:val="24"/>
                <w:szCs w:val="24"/>
              </w:rPr>
              <w:t xml:space="preserve"> Local Clinical Excellence Awards Bonus Payments</w:t>
            </w:r>
            <w:r w:rsidRPr="008D7F61">
              <w:rPr>
                <w:rFonts w:cs="Arial"/>
                <w:bCs/>
                <w:color w:val="auto"/>
                <w:sz w:val="24"/>
                <w:szCs w:val="24"/>
              </w:rPr>
              <w:t xml:space="preserve"> </w:t>
            </w:r>
            <w:r w:rsidRPr="008D7F61">
              <w:rPr>
                <w:rFonts w:eastAsia="Times New Roman" w:cs="Arial"/>
                <w:bCs/>
                <w:color w:val="auto"/>
                <w:sz w:val="24"/>
                <w:szCs w:val="24"/>
              </w:rPr>
              <w:t>2025</w:t>
            </w:r>
          </w:p>
          <w:p w14:paraId="14FB328D" w14:textId="77777777" w:rsidR="00A54ABD" w:rsidRPr="00A54ABD" w:rsidRDefault="00A54ABD" w:rsidP="00A54ABD">
            <w:pPr>
              <w:pStyle w:val="ListParagraph"/>
              <w:numPr>
                <w:ilvl w:val="0"/>
                <w:numId w:val="18"/>
              </w:numPr>
              <w:spacing w:before="120" w:after="120" w:line="276" w:lineRule="auto"/>
              <w:contextualSpacing w:val="0"/>
              <w:jc w:val="both"/>
              <w:rPr>
                <w:rFonts w:eastAsia="Times New Roman" w:cs="Arial"/>
                <w:vanish/>
              </w:rPr>
            </w:pPr>
            <w:bookmarkStart w:id="7" w:name="_Hlk222139763"/>
          </w:p>
          <w:p w14:paraId="3315AE7E" w14:textId="31729CEE" w:rsidR="008D7F61" w:rsidRPr="000036B6" w:rsidRDefault="008D7F61" w:rsidP="00A54ABD">
            <w:pPr>
              <w:pStyle w:val="ListParagraph"/>
              <w:numPr>
                <w:ilvl w:val="1"/>
                <w:numId w:val="18"/>
              </w:numPr>
              <w:spacing w:before="120" w:after="120" w:line="276" w:lineRule="auto"/>
              <w:ind w:left="709"/>
              <w:contextualSpacing w:val="0"/>
              <w:jc w:val="both"/>
              <w:rPr>
                <w:rFonts w:eastAsia="Times New Roman" w:cs="Arial"/>
              </w:rPr>
            </w:pPr>
            <w:r w:rsidRPr="000036B6">
              <w:rPr>
                <w:rFonts w:eastAsia="Times New Roman" w:cs="Arial"/>
              </w:rPr>
              <w:t xml:space="preserve">163 </w:t>
            </w:r>
            <w:r w:rsidRPr="00A54ABD">
              <w:t>bonus</w:t>
            </w:r>
            <w:r w:rsidRPr="000036B6">
              <w:rPr>
                <w:rFonts w:eastAsia="Times New Roman" w:cs="Arial"/>
              </w:rPr>
              <w:t xml:space="preserve"> payments were made to medical and dental staff: in 2025. There are 13</w:t>
            </w:r>
            <w:r>
              <w:rPr>
                <w:rFonts w:eastAsia="Times New Roman" w:cs="Arial"/>
              </w:rPr>
              <w:t>8</w:t>
            </w:r>
            <w:r w:rsidRPr="000036B6">
              <w:rPr>
                <w:rFonts w:eastAsia="Times New Roman" w:cs="Arial"/>
              </w:rPr>
              <w:t xml:space="preserve"> (85%) white consultants, compared to 2</w:t>
            </w:r>
            <w:r>
              <w:rPr>
                <w:rFonts w:eastAsia="Times New Roman" w:cs="Arial"/>
              </w:rPr>
              <w:t>4</w:t>
            </w:r>
            <w:r w:rsidRPr="000036B6">
              <w:rPr>
                <w:rFonts w:eastAsia="Times New Roman" w:cs="Arial"/>
              </w:rPr>
              <w:t xml:space="preserve"> (1</w:t>
            </w:r>
            <w:r>
              <w:rPr>
                <w:rFonts w:eastAsia="Times New Roman" w:cs="Arial"/>
              </w:rPr>
              <w:t>5</w:t>
            </w:r>
            <w:r w:rsidRPr="000036B6">
              <w:rPr>
                <w:rFonts w:eastAsia="Times New Roman" w:cs="Arial"/>
              </w:rPr>
              <w:t>%) EM Consultants and 1 (1%) of those did not state their ethnicity</w:t>
            </w:r>
            <w:bookmarkEnd w:id="7"/>
            <w:r w:rsidRPr="000036B6">
              <w:rPr>
                <w:rFonts w:eastAsia="Times New Roman" w:cs="Arial"/>
              </w:rPr>
              <w:t xml:space="preserve">. </w:t>
            </w:r>
          </w:p>
          <w:p w14:paraId="61D3E193" w14:textId="77777777" w:rsidR="008D7F61" w:rsidRPr="008D7F61" w:rsidRDefault="008D7F61" w:rsidP="008650AE">
            <w:pPr>
              <w:pStyle w:val="Heading1"/>
              <w:numPr>
                <w:ilvl w:val="0"/>
                <w:numId w:val="12"/>
              </w:numPr>
              <w:spacing w:after="0"/>
              <w:ind w:left="709" w:hanging="709"/>
              <w:rPr>
                <w:rFonts w:eastAsia="Times New Roman" w:cs="Arial"/>
                <w:b w:val="0"/>
                <w:bCs/>
                <w:color w:val="auto"/>
                <w:sz w:val="24"/>
                <w:szCs w:val="24"/>
              </w:rPr>
            </w:pPr>
            <w:r w:rsidRPr="008D7F61">
              <w:rPr>
                <w:rFonts w:eastAsia="Times New Roman" w:cs="Arial"/>
                <w:bCs/>
                <w:color w:val="auto"/>
                <w:sz w:val="24"/>
                <w:szCs w:val="24"/>
              </w:rPr>
              <w:t>Ethnicity Pay Gap Conclusion</w:t>
            </w:r>
          </w:p>
          <w:p w14:paraId="1881C163" w14:textId="77777777" w:rsidR="008D7F61" w:rsidRPr="00A54ABD" w:rsidRDefault="008D7F61" w:rsidP="008650AE">
            <w:pPr>
              <w:pStyle w:val="ListParagraph"/>
              <w:numPr>
                <w:ilvl w:val="1"/>
                <w:numId w:val="18"/>
              </w:numPr>
              <w:spacing w:before="120" w:line="276" w:lineRule="auto"/>
              <w:ind w:left="709"/>
              <w:jc w:val="both"/>
              <w:rPr>
                <w:rFonts w:eastAsia="Times New Roman" w:cs="Arial"/>
              </w:rPr>
            </w:pPr>
            <w:r w:rsidRPr="008D7F61">
              <w:rPr>
                <w:rFonts w:cs="Arial"/>
                <w:bCs/>
              </w:rPr>
              <w:t xml:space="preserve">The </w:t>
            </w:r>
            <w:r w:rsidRPr="00A54ABD">
              <w:rPr>
                <w:rFonts w:eastAsia="Times New Roman" w:cs="Arial"/>
              </w:rPr>
              <w:t>Ethnicity Pay Gap at March 2025 is 1.2% in favour of ethnic minority (EM) staff. EM staff have a slightly higher average hourly rate than White staff. This may reflect factors such as longer time at the top of pay bands and a higher likelihood of working unsocial hours, which attract enhanced pay.</w:t>
            </w:r>
          </w:p>
          <w:p w14:paraId="44E4A58B" w14:textId="77777777" w:rsidR="008D7F61" w:rsidRPr="00A54ABD" w:rsidRDefault="008D7F61" w:rsidP="008650AE">
            <w:pPr>
              <w:pStyle w:val="ListParagraph"/>
              <w:numPr>
                <w:ilvl w:val="1"/>
                <w:numId w:val="18"/>
              </w:numPr>
              <w:spacing w:line="276" w:lineRule="auto"/>
              <w:ind w:left="709"/>
              <w:jc w:val="both"/>
              <w:rPr>
                <w:rFonts w:eastAsia="Times New Roman" w:cs="Arial"/>
              </w:rPr>
            </w:pPr>
            <w:r w:rsidRPr="00A54ABD">
              <w:rPr>
                <w:rFonts w:eastAsia="Times New Roman" w:cs="Arial"/>
              </w:rPr>
              <w:t>White staff are more likely to progress into higher</w:t>
            </w:r>
            <w:r w:rsidRPr="00A54ABD">
              <w:rPr>
                <w:rFonts w:eastAsia="Times New Roman" w:cs="Arial"/>
              </w:rPr>
              <w:noBreakHyphen/>
              <w:t>banded roles, though often entering these bands at lower incremental points. The combination of band position and working patterns may help explain the current difference in average pay.</w:t>
            </w:r>
          </w:p>
          <w:p w14:paraId="12AF9047" w14:textId="77777777" w:rsidR="008D7F61" w:rsidRPr="00A54ABD" w:rsidRDefault="008D7F61" w:rsidP="008650AE">
            <w:pPr>
              <w:pStyle w:val="ListParagraph"/>
              <w:numPr>
                <w:ilvl w:val="1"/>
                <w:numId w:val="18"/>
              </w:numPr>
              <w:spacing w:before="120" w:line="276" w:lineRule="auto"/>
              <w:ind w:left="709"/>
              <w:jc w:val="both"/>
              <w:rPr>
                <w:rFonts w:eastAsia="Times New Roman" w:cs="Arial"/>
              </w:rPr>
            </w:pPr>
            <w:r w:rsidRPr="00A54ABD">
              <w:rPr>
                <w:rFonts w:eastAsia="Times New Roman" w:cs="Arial"/>
              </w:rPr>
              <w:t>For bonus payments, 85% of consultants receiving awards were White, and 14% were from EM backgrounds, showing that most consultant roles continue to be held by White staff.</w:t>
            </w:r>
          </w:p>
          <w:p w14:paraId="38DF776F" w14:textId="30F7E95D" w:rsidR="00A54ABD" w:rsidRPr="00A54ABD" w:rsidRDefault="008D7F61" w:rsidP="008650AE">
            <w:pPr>
              <w:pStyle w:val="ListParagraph"/>
              <w:numPr>
                <w:ilvl w:val="1"/>
                <w:numId w:val="18"/>
              </w:numPr>
              <w:spacing w:before="120" w:after="240" w:line="276" w:lineRule="auto"/>
              <w:ind w:left="709"/>
              <w:jc w:val="both"/>
              <w:rPr>
                <w:rFonts w:eastAsia="Times New Roman" w:cs="Arial"/>
                <w:b/>
                <w:bCs/>
              </w:rPr>
            </w:pPr>
            <w:r w:rsidRPr="00A54ABD">
              <w:rPr>
                <w:rFonts w:eastAsia="Times New Roman" w:cs="Arial"/>
              </w:rPr>
              <w:t>Further analysis</w:t>
            </w:r>
            <w:r w:rsidRPr="008D7F61">
              <w:rPr>
                <w:rFonts w:cs="Arial"/>
                <w:bCs/>
              </w:rPr>
              <w:t xml:space="preserve"> is needed to understand the factors behind this distribution, including recruitment, progression, and retention.</w:t>
            </w:r>
          </w:p>
          <w:p w14:paraId="243C0160" w14:textId="77777777" w:rsidR="008D7F61" w:rsidRPr="00A54ABD" w:rsidRDefault="008D7F61" w:rsidP="00A54ABD">
            <w:pPr>
              <w:pStyle w:val="Heading1"/>
              <w:spacing w:after="120"/>
              <w:rPr>
                <w:color w:val="auto"/>
                <w:sz w:val="24"/>
                <w:szCs w:val="24"/>
                <w:u w:val="single"/>
              </w:rPr>
            </w:pPr>
            <w:r w:rsidRPr="00A54ABD">
              <w:rPr>
                <w:color w:val="auto"/>
                <w:sz w:val="24"/>
                <w:szCs w:val="24"/>
                <w:u w:val="single"/>
              </w:rPr>
              <w:t>Gloucestershire Hospitals Disability Pay Gap 2025</w:t>
            </w:r>
          </w:p>
          <w:p w14:paraId="5504E043" w14:textId="77777777" w:rsidR="00A54ABD" w:rsidRPr="00A54ABD" w:rsidRDefault="00A54ABD" w:rsidP="00A54ABD">
            <w:pPr>
              <w:pStyle w:val="ListParagraph"/>
              <w:numPr>
                <w:ilvl w:val="0"/>
                <w:numId w:val="18"/>
              </w:numPr>
              <w:spacing w:before="120" w:after="240" w:line="276" w:lineRule="auto"/>
              <w:contextualSpacing w:val="0"/>
              <w:jc w:val="both"/>
              <w:rPr>
                <w:rFonts w:cs="Arial"/>
                <w:vanish/>
              </w:rPr>
            </w:pPr>
          </w:p>
          <w:p w14:paraId="2D0D8F86" w14:textId="52E92387" w:rsidR="008D7F61" w:rsidRDefault="008D7F61" w:rsidP="008650AE">
            <w:pPr>
              <w:pStyle w:val="ListParagraph"/>
              <w:numPr>
                <w:ilvl w:val="1"/>
                <w:numId w:val="18"/>
              </w:numPr>
              <w:spacing w:before="120" w:after="120" w:line="276" w:lineRule="auto"/>
              <w:ind w:left="709"/>
              <w:contextualSpacing w:val="0"/>
              <w:jc w:val="both"/>
              <w:rPr>
                <w:rFonts w:cs="Arial"/>
              </w:rPr>
            </w:pPr>
            <w:r>
              <w:rPr>
                <w:rFonts w:cs="Arial"/>
              </w:rPr>
              <w:t xml:space="preserve">Data </w:t>
            </w:r>
            <w:r w:rsidRPr="00A54ABD">
              <w:rPr>
                <w:rFonts w:eastAsia="Times New Roman" w:cs="Arial"/>
              </w:rPr>
              <w:t>reported</w:t>
            </w:r>
            <w:r>
              <w:rPr>
                <w:rFonts w:cs="Arial"/>
              </w:rPr>
              <w:t xml:space="preserve"> as </w:t>
            </w:r>
            <w:proofErr w:type="gramStart"/>
            <w:r>
              <w:rPr>
                <w:rFonts w:cs="Arial"/>
              </w:rPr>
              <w:t>at</w:t>
            </w:r>
            <w:proofErr w:type="gramEnd"/>
            <w:r>
              <w:rPr>
                <w:rFonts w:cs="Arial"/>
              </w:rPr>
              <w:t xml:space="preserve"> 31 March 2025</w:t>
            </w:r>
            <w:r w:rsidRPr="009123A0">
              <w:rPr>
                <w:rFonts w:cs="Arial"/>
              </w:rPr>
              <w:t>, unless otherwise indicated</w:t>
            </w:r>
            <w:r>
              <w:rPr>
                <w:rFonts w:cs="Arial"/>
              </w:rPr>
              <w:t>.</w:t>
            </w:r>
          </w:p>
          <w:p w14:paraId="7C47E4BD" w14:textId="77777777" w:rsidR="008D7F61" w:rsidRPr="008523EA" w:rsidRDefault="008D7F61" w:rsidP="008650AE">
            <w:pPr>
              <w:pStyle w:val="Heading1"/>
              <w:numPr>
                <w:ilvl w:val="0"/>
                <w:numId w:val="12"/>
              </w:numPr>
              <w:spacing w:after="0"/>
              <w:ind w:left="709" w:hanging="709"/>
              <w:rPr>
                <w:rFonts w:cs="Arial"/>
                <w:bCs/>
                <w:color w:val="auto"/>
                <w:sz w:val="24"/>
                <w:szCs w:val="24"/>
              </w:rPr>
            </w:pPr>
            <w:r w:rsidRPr="008523EA">
              <w:rPr>
                <w:rFonts w:cs="Arial"/>
                <w:bCs/>
                <w:color w:val="auto"/>
                <w:sz w:val="24"/>
                <w:szCs w:val="24"/>
              </w:rPr>
              <w:t xml:space="preserve">Key Findings from March 2025 are as follows: </w:t>
            </w:r>
          </w:p>
          <w:p w14:paraId="7001C73C" w14:textId="77777777" w:rsidR="00A54ABD" w:rsidRPr="00A54ABD" w:rsidRDefault="00A54ABD" w:rsidP="00A54ABD">
            <w:pPr>
              <w:pStyle w:val="ListParagraph"/>
              <w:numPr>
                <w:ilvl w:val="0"/>
                <w:numId w:val="18"/>
              </w:numPr>
              <w:spacing w:before="120" w:line="276" w:lineRule="auto"/>
              <w:contextualSpacing w:val="0"/>
              <w:jc w:val="both"/>
              <w:rPr>
                <w:vanish/>
              </w:rPr>
            </w:pPr>
          </w:p>
          <w:p w14:paraId="6D1F176D" w14:textId="3E236C62" w:rsidR="008D7F61" w:rsidRPr="008650AE" w:rsidRDefault="008D7F61" w:rsidP="008650AE">
            <w:pPr>
              <w:pStyle w:val="ListParagraph"/>
              <w:numPr>
                <w:ilvl w:val="1"/>
                <w:numId w:val="31"/>
              </w:numPr>
              <w:spacing w:after="360" w:line="276" w:lineRule="auto"/>
              <w:jc w:val="both"/>
            </w:pPr>
            <w:r w:rsidRPr="00C82CBA">
              <w:t xml:space="preserve">The </w:t>
            </w:r>
            <w:r w:rsidRPr="008650AE">
              <w:t>mean</w:t>
            </w:r>
            <w:r w:rsidRPr="00C82CBA">
              <w:t xml:space="preserve"> Disability Pay Gap (DPG) is </w:t>
            </w:r>
            <w:r>
              <w:t>13.1% (</w:t>
            </w:r>
            <w:r w:rsidRPr="00C82CBA">
              <w:t>£3.05</w:t>
            </w:r>
            <w:r>
              <w:t>)</w:t>
            </w:r>
            <w:r w:rsidRPr="00C82CBA">
              <w:t xml:space="preserve"> in favour of non-disabled staff</w:t>
            </w:r>
            <w:r>
              <w:t>.</w:t>
            </w:r>
          </w:p>
          <w:p w14:paraId="5CD298AC" w14:textId="77777777" w:rsidR="008D7F61" w:rsidRPr="00A54ABD" w:rsidRDefault="008D7F61" w:rsidP="008650AE">
            <w:pPr>
              <w:pStyle w:val="ListParagraph"/>
              <w:numPr>
                <w:ilvl w:val="1"/>
                <w:numId w:val="31"/>
              </w:numPr>
              <w:spacing w:after="120" w:line="276" w:lineRule="auto"/>
              <w:ind w:left="714" w:hanging="357"/>
              <w:jc w:val="both"/>
              <w:rPr>
                <w:color w:val="0070C0"/>
              </w:rPr>
            </w:pPr>
            <w:r w:rsidRPr="00C82CBA">
              <w:t>The median Disability Pay Gap (DPG) is</w:t>
            </w:r>
            <w:r>
              <w:t xml:space="preserve"> 12.6% (</w:t>
            </w:r>
            <w:r w:rsidRPr="00C82CBA">
              <w:t>£2.94</w:t>
            </w:r>
            <w:r>
              <w:t xml:space="preserve">) </w:t>
            </w:r>
            <w:r w:rsidRPr="00C82CBA">
              <w:t>in favour of non-disabled staff</w:t>
            </w:r>
            <w:r>
              <w:t>.</w:t>
            </w:r>
          </w:p>
          <w:p w14:paraId="1637E3DD" w14:textId="77777777" w:rsidR="008D7F61" w:rsidRDefault="008D7F61" w:rsidP="008650AE">
            <w:pPr>
              <w:pStyle w:val="Heading1"/>
              <w:numPr>
                <w:ilvl w:val="0"/>
                <w:numId w:val="12"/>
              </w:numPr>
              <w:spacing w:after="0"/>
              <w:ind w:left="709" w:hanging="709"/>
              <w:rPr>
                <w:rFonts w:cs="Arial"/>
                <w:bCs/>
                <w:color w:val="auto"/>
                <w:sz w:val="24"/>
                <w:szCs w:val="24"/>
              </w:rPr>
            </w:pPr>
            <w:r w:rsidRPr="008523EA">
              <w:rPr>
                <w:rFonts w:cs="Arial"/>
                <w:bCs/>
                <w:color w:val="auto"/>
                <w:sz w:val="24"/>
                <w:szCs w:val="24"/>
              </w:rPr>
              <w:t>Disability Grouping Definitions: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43"/>
              <w:gridCol w:w="1662"/>
              <w:gridCol w:w="1662"/>
              <w:gridCol w:w="1871"/>
              <w:gridCol w:w="1810"/>
            </w:tblGrid>
            <w:tr w:rsidR="008D7F61" w14:paraId="4BF18057" w14:textId="77777777" w:rsidTr="00A54ABD">
              <w:tc>
                <w:tcPr>
                  <w:tcW w:w="1548" w:type="pct"/>
                  <w:shd w:val="clear" w:color="auto" w:fill="0070C0"/>
                  <w:vAlign w:val="center"/>
                </w:tcPr>
                <w:p w14:paraId="792D65E8" w14:textId="77777777" w:rsidR="008D7F61" w:rsidRPr="008650AE" w:rsidRDefault="008D7F61" w:rsidP="00A54ABD">
                  <w:pPr>
                    <w:rPr>
                      <w:b/>
                      <w:bCs/>
                      <w:color w:val="FFFFFF" w:themeColor="background1"/>
                    </w:rPr>
                  </w:pPr>
                  <w:r w:rsidRPr="008650AE">
                    <w:rPr>
                      <w:b/>
                      <w:bCs/>
                      <w:color w:val="FFFFFF" w:themeColor="background1"/>
                    </w:rPr>
                    <w:t>Yes</w:t>
                  </w:r>
                </w:p>
              </w:tc>
              <w:tc>
                <w:tcPr>
                  <w:tcW w:w="819" w:type="pct"/>
                  <w:shd w:val="clear" w:color="auto" w:fill="0070C0"/>
                  <w:vAlign w:val="center"/>
                </w:tcPr>
                <w:p w14:paraId="5DAB6034" w14:textId="77777777" w:rsidR="008D7F61" w:rsidRPr="008650AE" w:rsidRDefault="008D7F61" w:rsidP="00A54ABD">
                  <w:pPr>
                    <w:rPr>
                      <w:b/>
                      <w:bCs/>
                      <w:color w:val="FFFFFF" w:themeColor="background1"/>
                    </w:rPr>
                  </w:pPr>
                  <w:r w:rsidRPr="008650AE">
                    <w:rPr>
                      <w:b/>
                      <w:bCs/>
                      <w:color w:val="FFFFFF" w:themeColor="background1"/>
                    </w:rPr>
                    <w:t>No</w:t>
                  </w:r>
                </w:p>
              </w:tc>
              <w:tc>
                <w:tcPr>
                  <w:tcW w:w="819" w:type="pct"/>
                  <w:shd w:val="clear" w:color="auto" w:fill="0070C0"/>
                  <w:vAlign w:val="center"/>
                </w:tcPr>
                <w:p w14:paraId="12968C86" w14:textId="77777777" w:rsidR="008D7F61" w:rsidRPr="008650AE" w:rsidRDefault="008D7F61" w:rsidP="00A54ABD">
                  <w:pPr>
                    <w:rPr>
                      <w:b/>
                      <w:bCs/>
                      <w:color w:val="FFFFFF" w:themeColor="background1"/>
                    </w:rPr>
                  </w:pPr>
                  <w:r w:rsidRPr="008650AE">
                    <w:rPr>
                      <w:b/>
                      <w:bCs/>
                      <w:color w:val="FFFFFF" w:themeColor="background1"/>
                    </w:rPr>
                    <w:t>Prefer not to answer</w:t>
                  </w:r>
                </w:p>
              </w:tc>
              <w:tc>
                <w:tcPr>
                  <w:tcW w:w="922" w:type="pct"/>
                  <w:shd w:val="clear" w:color="auto" w:fill="0070C0"/>
                  <w:vAlign w:val="center"/>
                </w:tcPr>
                <w:p w14:paraId="3499BE28" w14:textId="77777777" w:rsidR="008D7F61" w:rsidRPr="008650AE" w:rsidRDefault="008D7F61" w:rsidP="00A54ABD">
                  <w:pPr>
                    <w:rPr>
                      <w:b/>
                      <w:bCs/>
                      <w:color w:val="FFFFFF" w:themeColor="background1"/>
                    </w:rPr>
                  </w:pPr>
                  <w:r w:rsidRPr="008650AE">
                    <w:rPr>
                      <w:b/>
                      <w:bCs/>
                      <w:color w:val="FFFFFF" w:themeColor="background1"/>
                    </w:rPr>
                    <w:t>Unspecified</w:t>
                  </w:r>
                </w:p>
              </w:tc>
              <w:tc>
                <w:tcPr>
                  <w:tcW w:w="892" w:type="pct"/>
                  <w:shd w:val="clear" w:color="auto" w:fill="0070C0"/>
                  <w:vAlign w:val="center"/>
                </w:tcPr>
                <w:p w14:paraId="0920D755" w14:textId="77777777" w:rsidR="008D7F61" w:rsidRPr="008650AE" w:rsidRDefault="008D7F61" w:rsidP="00A54ABD">
                  <w:pPr>
                    <w:rPr>
                      <w:b/>
                      <w:bCs/>
                      <w:color w:val="FFFFFF" w:themeColor="background1"/>
                    </w:rPr>
                  </w:pPr>
                  <w:r w:rsidRPr="008650AE">
                    <w:rPr>
                      <w:b/>
                      <w:bCs/>
                      <w:color w:val="FFFFFF" w:themeColor="background1"/>
                    </w:rPr>
                    <w:t>Not declared</w:t>
                  </w:r>
                </w:p>
              </w:tc>
            </w:tr>
            <w:tr w:rsidR="008D7F61" w14:paraId="061BECAE" w14:textId="77777777" w:rsidTr="00A54ABD">
              <w:tc>
                <w:tcPr>
                  <w:tcW w:w="1548" w:type="pct"/>
                  <w:vAlign w:val="center"/>
                </w:tcPr>
                <w:p w14:paraId="0AD566BF" w14:textId="77777777" w:rsidR="008D7F61" w:rsidRPr="008650AE" w:rsidRDefault="008D7F61" w:rsidP="00A54ABD">
                  <w:r w:rsidRPr="008650AE">
                    <w:t>Selected one of the following:</w:t>
                  </w:r>
                </w:p>
                <w:p w14:paraId="37D35865" w14:textId="77777777" w:rsidR="008D7F61" w:rsidRPr="008650AE" w:rsidRDefault="008D7F61" w:rsidP="00A54ABD">
                  <w:pPr>
                    <w:pStyle w:val="ListParagraph"/>
                    <w:numPr>
                      <w:ilvl w:val="0"/>
                      <w:numId w:val="26"/>
                    </w:numPr>
                  </w:pPr>
                  <w:r w:rsidRPr="008650AE">
                    <w:t>Learning disability/difficulty</w:t>
                  </w:r>
                </w:p>
                <w:p w14:paraId="41F2FE92" w14:textId="77777777" w:rsidR="008D7F61" w:rsidRPr="008650AE" w:rsidRDefault="008D7F61" w:rsidP="00A54ABD">
                  <w:pPr>
                    <w:pStyle w:val="ListParagraph"/>
                    <w:numPr>
                      <w:ilvl w:val="0"/>
                      <w:numId w:val="26"/>
                    </w:numPr>
                  </w:pPr>
                  <w:r w:rsidRPr="008650AE">
                    <w:t>Long standing illness</w:t>
                  </w:r>
                </w:p>
                <w:p w14:paraId="221D05C0" w14:textId="77777777" w:rsidR="008D7F61" w:rsidRPr="008650AE" w:rsidRDefault="008D7F61" w:rsidP="00A54ABD">
                  <w:pPr>
                    <w:pStyle w:val="ListParagraph"/>
                    <w:numPr>
                      <w:ilvl w:val="0"/>
                      <w:numId w:val="26"/>
                    </w:numPr>
                  </w:pPr>
                  <w:r w:rsidRPr="008650AE">
                    <w:lastRenderedPageBreak/>
                    <w:t>Mental Health Condition</w:t>
                  </w:r>
                </w:p>
                <w:p w14:paraId="4E726101" w14:textId="77777777" w:rsidR="008D7F61" w:rsidRPr="008650AE" w:rsidRDefault="008D7F61" w:rsidP="00A54ABD">
                  <w:pPr>
                    <w:pStyle w:val="ListParagraph"/>
                    <w:numPr>
                      <w:ilvl w:val="0"/>
                      <w:numId w:val="26"/>
                    </w:numPr>
                  </w:pPr>
                  <w:r w:rsidRPr="008650AE">
                    <w:t>Physical Impairment</w:t>
                  </w:r>
                </w:p>
                <w:p w14:paraId="15003D6E" w14:textId="77777777" w:rsidR="008D7F61" w:rsidRPr="008650AE" w:rsidRDefault="008D7F61" w:rsidP="00A54ABD">
                  <w:pPr>
                    <w:pStyle w:val="ListParagraph"/>
                    <w:numPr>
                      <w:ilvl w:val="0"/>
                      <w:numId w:val="26"/>
                    </w:numPr>
                  </w:pPr>
                  <w:r w:rsidRPr="008650AE">
                    <w:t>Sensory Impairment</w:t>
                  </w:r>
                </w:p>
                <w:p w14:paraId="4541652D" w14:textId="77777777" w:rsidR="008D7F61" w:rsidRPr="008650AE" w:rsidRDefault="008D7F61" w:rsidP="00A54ABD">
                  <w:pPr>
                    <w:pStyle w:val="ListParagraph"/>
                    <w:numPr>
                      <w:ilvl w:val="0"/>
                      <w:numId w:val="26"/>
                    </w:numPr>
                  </w:pPr>
                  <w:r w:rsidRPr="008650AE">
                    <w:t>Other</w:t>
                  </w:r>
                </w:p>
              </w:tc>
              <w:tc>
                <w:tcPr>
                  <w:tcW w:w="819" w:type="pct"/>
                  <w:vAlign w:val="center"/>
                </w:tcPr>
                <w:p w14:paraId="78D33C5F" w14:textId="77777777" w:rsidR="008D7F61" w:rsidRPr="008650AE" w:rsidRDefault="008D7F61" w:rsidP="00A54ABD">
                  <w:r w:rsidRPr="008650AE">
                    <w:lastRenderedPageBreak/>
                    <w:t>Selected no</w:t>
                  </w:r>
                </w:p>
              </w:tc>
              <w:tc>
                <w:tcPr>
                  <w:tcW w:w="819" w:type="pct"/>
                  <w:vAlign w:val="center"/>
                </w:tcPr>
                <w:p w14:paraId="5ABFFE39" w14:textId="77777777" w:rsidR="008D7F61" w:rsidRPr="008650AE" w:rsidRDefault="008D7F61" w:rsidP="00A54ABD">
                  <w:r w:rsidRPr="008650AE">
                    <w:t>Selected prefer not to answer</w:t>
                  </w:r>
                </w:p>
              </w:tc>
              <w:tc>
                <w:tcPr>
                  <w:tcW w:w="922" w:type="pct"/>
                  <w:vAlign w:val="center"/>
                </w:tcPr>
                <w:p w14:paraId="1288B856" w14:textId="77777777" w:rsidR="008D7F61" w:rsidRPr="008650AE" w:rsidRDefault="008D7F61" w:rsidP="00A54ABD">
                  <w:r w:rsidRPr="008650AE">
                    <w:t>Selected ‘Yes – Unspecified’ meaning they are declaring an unspecified disability</w:t>
                  </w:r>
                </w:p>
              </w:tc>
              <w:tc>
                <w:tcPr>
                  <w:tcW w:w="892" w:type="pct"/>
                  <w:vAlign w:val="center"/>
                </w:tcPr>
                <w:p w14:paraId="221476BD" w14:textId="77777777" w:rsidR="008D7F61" w:rsidRPr="008650AE" w:rsidRDefault="008D7F61" w:rsidP="00A54ABD">
                  <w:r w:rsidRPr="008650AE">
                    <w:t>Have not selected any of the above/have not answered</w:t>
                  </w:r>
                </w:p>
              </w:tc>
            </w:tr>
          </w:tbl>
          <w:p w14:paraId="0C6DC7FE" w14:textId="77777777" w:rsidR="008650AE" w:rsidRPr="008650AE" w:rsidRDefault="008650AE" w:rsidP="008650AE">
            <w:pPr>
              <w:pStyle w:val="ListParagraph"/>
              <w:numPr>
                <w:ilvl w:val="0"/>
                <w:numId w:val="18"/>
              </w:numPr>
              <w:spacing w:before="120" w:after="120" w:line="276" w:lineRule="auto"/>
              <w:contextualSpacing w:val="0"/>
              <w:jc w:val="both"/>
              <w:rPr>
                <w:vanish/>
              </w:rPr>
            </w:pPr>
          </w:p>
          <w:p w14:paraId="61B3321F" w14:textId="77777777" w:rsidR="008650AE" w:rsidRDefault="008650AE" w:rsidP="008650AE">
            <w:pPr>
              <w:spacing w:after="120" w:line="276" w:lineRule="auto"/>
              <w:jc w:val="both"/>
            </w:pPr>
          </w:p>
          <w:p w14:paraId="63C8BF79" w14:textId="20E73A45" w:rsidR="008D7F61" w:rsidRDefault="008D7F61" w:rsidP="008650AE">
            <w:pPr>
              <w:pStyle w:val="ListParagraph"/>
              <w:numPr>
                <w:ilvl w:val="1"/>
                <w:numId w:val="18"/>
              </w:numPr>
              <w:spacing w:after="120" w:line="276" w:lineRule="auto"/>
              <w:ind w:left="709"/>
              <w:contextualSpacing w:val="0"/>
              <w:jc w:val="both"/>
            </w:pPr>
            <w:r>
              <w:tab/>
              <w:t xml:space="preserve">The table below shows the average and median hourly rates for different ethnic origins groups as follows. As this is the first year, we have analysed the Disability Pay Gap data, there is no comparison with previous years data. </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33"/>
              <w:gridCol w:w="3047"/>
              <w:gridCol w:w="3968"/>
            </w:tblGrid>
            <w:tr w:rsidR="008D7F61" w:rsidRPr="008E32B4" w14:paraId="7D025E4B" w14:textId="77777777" w:rsidTr="00BF0A24">
              <w:trPr>
                <w:trHeight w:val="290"/>
              </w:trPr>
              <w:tc>
                <w:tcPr>
                  <w:tcW w:w="1543" w:type="pct"/>
                  <w:shd w:val="clear" w:color="auto" w:fill="0070C0"/>
                  <w:vAlign w:val="center"/>
                  <w:hideMark/>
                </w:tcPr>
                <w:p w14:paraId="27666C36" w14:textId="77777777" w:rsidR="008D7F61" w:rsidRPr="00BF0A24" w:rsidRDefault="008D7F61" w:rsidP="00BF0A24">
                  <w:pPr>
                    <w:spacing w:after="0" w:line="240" w:lineRule="auto"/>
                    <w:rPr>
                      <w:rFonts w:ascii="Calibri" w:eastAsia="Times New Roman" w:hAnsi="Calibri" w:cs="Calibri"/>
                      <w:b/>
                      <w:bCs/>
                      <w:color w:val="FFFFFF"/>
                    </w:rPr>
                  </w:pPr>
                  <w:r w:rsidRPr="00BF0A24">
                    <w:rPr>
                      <w:rFonts w:eastAsia="Times New Roman" w:cs="Arial"/>
                      <w:b/>
                      <w:bCs/>
                      <w:color w:val="FFFFFF"/>
                    </w:rPr>
                    <w:t>Disability Grouping Summary</w:t>
                  </w:r>
                </w:p>
                <w:p w14:paraId="1F5212A2" w14:textId="77777777" w:rsidR="008D7F61" w:rsidRPr="00BF0A24" w:rsidRDefault="008D7F61" w:rsidP="00BF0A24">
                  <w:pPr>
                    <w:spacing w:after="0" w:line="240" w:lineRule="auto"/>
                    <w:rPr>
                      <w:rFonts w:ascii="Calibri" w:eastAsia="Times New Roman" w:hAnsi="Calibri" w:cs="Calibri"/>
                      <w:b/>
                      <w:bCs/>
                      <w:color w:val="FFFFFF"/>
                    </w:rPr>
                  </w:pPr>
                </w:p>
              </w:tc>
              <w:tc>
                <w:tcPr>
                  <w:tcW w:w="1501" w:type="pct"/>
                  <w:shd w:val="clear" w:color="auto" w:fill="0070C0"/>
                  <w:vAlign w:val="center"/>
                  <w:hideMark/>
                </w:tcPr>
                <w:p w14:paraId="2AA1A17A"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Mean Hourly Rate</w:t>
                  </w:r>
                </w:p>
              </w:tc>
              <w:tc>
                <w:tcPr>
                  <w:tcW w:w="1955" w:type="pct"/>
                  <w:shd w:val="clear" w:color="auto" w:fill="0070C0"/>
                  <w:vAlign w:val="center"/>
                  <w:hideMark/>
                </w:tcPr>
                <w:p w14:paraId="15BC89E2"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Median Hourly Rate</w:t>
                  </w:r>
                </w:p>
              </w:tc>
            </w:tr>
            <w:tr w:rsidR="008D7F61" w:rsidRPr="008E32B4" w14:paraId="358F9A6D" w14:textId="77777777" w:rsidTr="00BF0A24">
              <w:trPr>
                <w:trHeight w:val="290"/>
              </w:trPr>
              <w:tc>
                <w:tcPr>
                  <w:tcW w:w="1543" w:type="pct"/>
                  <w:vAlign w:val="center"/>
                </w:tcPr>
                <w:p w14:paraId="5EE8501E"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No</w:t>
                  </w:r>
                </w:p>
              </w:tc>
              <w:tc>
                <w:tcPr>
                  <w:tcW w:w="1501" w:type="pct"/>
                  <w:shd w:val="clear" w:color="000000" w:fill="FFFFFF"/>
                  <w:vAlign w:val="center"/>
                </w:tcPr>
                <w:p w14:paraId="115665E5"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£23.34</w:t>
                  </w:r>
                </w:p>
              </w:tc>
              <w:tc>
                <w:tcPr>
                  <w:tcW w:w="1955" w:type="pct"/>
                  <w:shd w:val="clear" w:color="000000" w:fill="FFFFFF"/>
                  <w:vAlign w:val="center"/>
                </w:tcPr>
                <w:p w14:paraId="3A8FB13F"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£23.37</w:t>
                  </w:r>
                </w:p>
              </w:tc>
            </w:tr>
            <w:tr w:rsidR="008D7F61" w:rsidRPr="008E32B4" w14:paraId="53794CD5" w14:textId="77777777" w:rsidTr="00BF0A24">
              <w:trPr>
                <w:trHeight w:val="290"/>
              </w:trPr>
              <w:tc>
                <w:tcPr>
                  <w:tcW w:w="1543" w:type="pct"/>
                  <w:vAlign w:val="center"/>
                </w:tcPr>
                <w:p w14:paraId="61240796"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Not Declared</w:t>
                  </w:r>
                </w:p>
              </w:tc>
              <w:tc>
                <w:tcPr>
                  <w:tcW w:w="1501" w:type="pct"/>
                  <w:shd w:val="clear" w:color="000000" w:fill="FFFFFF"/>
                  <w:vAlign w:val="center"/>
                </w:tcPr>
                <w:p w14:paraId="3E43E3FA"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£21.87</w:t>
                  </w:r>
                </w:p>
              </w:tc>
              <w:tc>
                <w:tcPr>
                  <w:tcW w:w="1955" w:type="pct"/>
                  <w:shd w:val="clear" w:color="000000" w:fill="FFFFFF"/>
                  <w:vAlign w:val="center"/>
                </w:tcPr>
                <w:p w14:paraId="4D8DC988"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£22.01</w:t>
                  </w:r>
                </w:p>
              </w:tc>
            </w:tr>
            <w:tr w:rsidR="008D7F61" w:rsidRPr="008E32B4" w14:paraId="781B5111" w14:textId="77777777" w:rsidTr="00BF0A24">
              <w:trPr>
                <w:trHeight w:val="290"/>
              </w:trPr>
              <w:tc>
                <w:tcPr>
                  <w:tcW w:w="1543" w:type="pct"/>
                  <w:vAlign w:val="center"/>
                </w:tcPr>
                <w:p w14:paraId="6F856CD4"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 xml:space="preserve">Prefer Not </w:t>
                  </w:r>
                  <w:proofErr w:type="gramStart"/>
                  <w:r>
                    <w:rPr>
                      <w:rFonts w:eastAsia="Times New Roman" w:cs="Arial"/>
                      <w:color w:val="000000"/>
                    </w:rPr>
                    <w:t>To</w:t>
                  </w:r>
                  <w:proofErr w:type="gramEnd"/>
                  <w:r>
                    <w:rPr>
                      <w:rFonts w:eastAsia="Times New Roman" w:cs="Arial"/>
                      <w:color w:val="000000"/>
                    </w:rPr>
                    <w:t xml:space="preserve"> Answer</w:t>
                  </w:r>
                </w:p>
              </w:tc>
              <w:tc>
                <w:tcPr>
                  <w:tcW w:w="1501" w:type="pct"/>
                  <w:shd w:val="clear" w:color="000000" w:fill="FFFFFF"/>
                  <w:vAlign w:val="center"/>
                </w:tcPr>
                <w:p w14:paraId="6CACFEF8"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£19.07</w:t>
                  </w:r>
                </w:p>
              </w:tc>
              <w:tc>
                <w:tcPr>
                  <w:tcW w:w="1955" w:type="pct"/>
                  <w:shd w:val="clear" w:color="000000" w:fill="FFFFFF"/>
                  <w:vAlign w:val="center"/>
                </w:tcPr>
                <w:p w14:paraId="43BE56F8"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£19.10</w:t>
                  </w:r>
                </w:p>
              </w:tc>
            </w:tr>
            <w:tr w:rsidR="008D7F61" w:rsidRPr="008E32B4" w14:paraId="7E663C5A" w14:textId="77777777" w:rsidTr="00BF0A24">
              <w:trPr>
                <w:trHeight w:val="290"/>
              </w:trPr>
              <w:tc>
                <w:tcPr>
                  <w:tcW w:w="1543" w:type="pct"/>
                  <w:vAlign w:val="center"/>
                </w:tcPr>
                <w:p w14:paraId="4B01E55F"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Unspecified</w:t>
                  </w:r>
                </w:p>
              </w:tc>
              <w:tc>
                <w:tcPr>
                  <w:tcW w:w="1501" w:type="pct"/>
                  <w:shd w:val="clear" w:color="000000" w:fill="FFFFFF"/>
                  <w:vAlign w:val="center"/>
                </w:tcPr>
                <w:p w14:paraId="22C95271"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£25.29</w:t>
                  </w:r>
                </w:p>
              </w:tc>
              <w:tc>
                <w:tcPr>
                  <w:tcW w:w="1955" w:type="pct"/>
                  <w:shd w:val="clear" w:color="000000" w:fill="FFFFFF"/>
                  <w:vAlign w:val="center"/>
                </w:tcPr>
                <w:p w14:paraId="206C863B"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£25.56</w:t>
                  </w:r>
                </w:p>
              </w:tc>
            </w:tr>
            <w:tr w:rsidR="008D7F61" w:rsidRPr="008E32B4" w14:paraId="0D3536E6" w14:textId="77777777" w:rsidTr="00BF0A24">
              <w:trPr>
                <w:trHeight w:val="290"/>
              </w:trPr>
              <w:tc>
                <w:tcPr>
                  <w:tcW w:w="1543" w:type="pct"/>
                  <w:vAlign w:val="center"/>
                </w:tcPr>
                <w:p w14:paraId="33264E5E"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Yes</w:t>
                  </w:r>
                </w:p>
              </w:tc>
              <w:tc>
                <w:tcPr>
                  <w:tcW w:w="1501" w:type="pct"/>
                  <w:shd w:val="clear" w:color="000000" w:fill="FFFFFF"/>
                  <w:vAlign w:val="center"/>
                </w:tcPr>
                <w:p w14:paraId="5F9947C9"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£20.29</w:t>
                  </w:r>
                </w:p>
              </w:tc>
              <w:tc>
                <w:tcPr>
                  <w:tcW w:w="1955" w:type="pct"/>
                  <w:shd w:val="clear" w:color="000000" w:fill="FFFFFF"/>
                  <w:vAlign w:val="center"/>
                </w:tcPr>
                <w:p w14:paraId="1663C97B" w14:textId="77777777" w:rsidR="008D7F61" w:rsidRPr="008E32B4" w:rsidRDefault="008D7F61" w:rsidP="00BF0A24">
                  <w:pPr>
                    <w:spacing w:after="0" w:line="240" w:lineRule="auto"/>
                    <w:rPr>
                      <w:rFonts w:eastAsia="Times New Roman" w:cs="Arial"/>
                      <w:color w:val="000000"/>
                    </w:rPr>
                  </w:pPr>
                  <w:r>
                    <w:rPr>
                      <w:rFonts w:eastAsia="Times New Roman" w:cs="Arial"/>
                      <w:color w:val="000000"/>
                    </w:rPr>
                    <w:t>£20.43</w:t>
                  </w:r>
                </w:p>
              </w:tc>
            </w:tr>
          </w:tbl>
          <w:p w14:paraId="6CD36E1A" w14:textId="1E79CE04" w:rsidR="008D7F61" w:rsidRDefault="008D7F61" w:rsidP="00BF0A24">
            <w:pPr>
              <w:pStyle w:val="ListParagraph"/>
              <w:numPr>
                <w:ilvl w:val="1"/>
                <w:numId w:val="18"/>
              </w:numPr>
              <w:spacing w:before="120" w:line="276" w:lineRule="auto"/>
              <w:ind w:left="709"/>
              <w:contextualSpacing w:val="0"/>
              <w:jc w:val="both"/>
            </w:pPr>
            <w:r>
              <w:t xml:space="preserve">This shows that our disabled staff earn a mean hourly rate of £20.29, whilst non-disabled staff earn a mean hourly rate of £23.34. This gives a difference of £3.05, representing a pay gap of 13.06% in favour of non-disabled staff. </w:t>
            </w:r>
          </w:p>
          <w:p w14:paraId="0633D1FC" w14:textId="4833D1D3" w:rsidR="008D7F61" w:rsidRPr="0014107C" w:rsidRDefault="008D7F61" w:rsidP="00BF0A24">
            <w:pPr>
              <w:pStyle w:val="ListParagraph"/>
              <w:numPr>
                <w:ilvl w:val="1"/>
                <w:numId w:val="18"/>
              </w:numPr>
              <w:spacing w:line="276" w:lineRule="auto"/>
              <w:ind w:left="709"/>
              <w:contextualSpacing w:val="0"/>
              <w:jc w:val="both"/>
            </w:pPr>
            <w:r w:rsidRPr="0014107C">
              <w:t xml:space="preserve">The median hourly rate for </w:t>
            </w:r>
            <w:r>
              <w:t xml:space="preserve">disabled </w:t>
            </w:r>
            <w:r w:rsidRPr="0014107C">
              <w:t>staff is £</w:t>
            </w:r>
            <w:r>
              <w:t>20.43</w:t>
            </w:r>
            <w:r w:rsidRPr="0014107C">
              <w:t>, compared to a median hourly rate of £</w:t>
            </w:r>
            <w:r>
              <w:t>23.37</w:t>
            </w:r>
            <w:r w:rsidRPr="0014107C">
              <w:t xml:space="preserve"> for </w:t>
            </w:r>
            <w:r>
              <w:t xml:space="preserve">non-disabled </w:t>
            </w:r>
            <w:r w:rsidRPr="0014107C">
              <w:t>staff. This gives a difference of £</w:t>
            </w:r>
            <w:r>
              <w:t>2.94</w:t>
            </w:r>
            <w:r w:rsidRPr="0014107C">
              <w:t xml:space="preserve"> and a pay gap of </w:t>
            </w:r>
            <w:r>
              <w:t>12.6</w:t>
            </w:r>
            <w:r w:rsidRPr="0014107C">
              <w:t xml:space="preserve">% in favour of EM staff. </w:t>
            </w:r>
          </w:p>
          <w:p w14:paraId="0D0B71D0" w14:textId="77777777" w:rsidR="008D7F61" w:rsidRPr="00BF0A24" w:rsidRDefault="008D7F61" w:rsidP="008650AE">
            <w:pPr>
              <w:pStyle w:val="ListParagraph"/>
              <w:numPr>
                <w:ilvl w:val="1"/>
                <w:numId w:val="31"/>
              </w:numPr>
              <w:spacing w:after="360" w:line="276" w:lineRule="auto"/>
              <w:jc w:val="both"/>
            </w:pPr>
            <w:r w:rsidRPr="00BE61DC">
              <w:rPr>
                <w:rFonts w:cs="Arial"/>
              </w:rPr>
              <w:t xml:space="preserve">The </w:t>
            </w:r>
            <w:r w:rsidRPr="00BF0A24">
              <w:t>mean hourly rate for Not Declared is £21.87 and the median is £22.01.</w:t>
            </w:r>
          </w:p>
          <w:p w14:paraId="0B19F40F" w14:textId="77777777" w:rsidR="008D7F61" w:rsidRPr="00BF0A24" w:rsidRDefault="008D7F61" w:rsidP="008650AE">
            <w:pPr>
              <w:pStyle w:val="ListParagraph"/>
              <w:numPr>
                <w:ilvl w:val="1"/>
                <w:numId w:val="31"/>
              </w:numPr>
              <w:spacing w:after="360" w:line="276" w:lineRule="auto"/>
              <w:jc w:val="both"/>
            </w:pPr>
            <w:r w:rsidRPr="00BF0A24">
              <w:t>The mean hourly rate for Prefer Not to Answer is £19.07 and the median is £19.10.</w:t>
            </w:r>
          </w:p>
          <w:p w14:paraId="15568507" w14:textId="3028ECF6" w:rsidR="008D7F61" w:rsidRPr="00BF0A24" w:rsidRDefault="008D7F61" w:rsidP="008650AE">
            <w:pPr>
              <w:pStyle w:val="ListParagraph"/>
              <w:numPr>
                <w:ilvl w:val="1"/>
                <w:numId w:val="31"/>
              </w:numPr>
              <w:spacing w:after="360" w:line="276" w:lineRule="auto"/>
              <w:jc w:val="both"/>
            </w:pPr>
            <w:r w:rsidRPr="00BF0A24">
              <w:t>The mean hourly rate for Unspecified is £25.29 and the median is £25.56.</w:t>
            </w:r>
          </w:p>
          <w:p w14:paraId="333A2D7E" w14:textId="77777777" w:rsidR="008D7F61" w:rsidRDefault="008D7F61" w:rsidP="00BF0A24">
            <w:pPr>
              <w:pStyle w:val="ListParagraph"/>
              <w:numPr>
                <w:ilvl w:val="1"/>
                <w:numId w:val="18"/>
              </w:numPr>
              <w:spacing w:after="120" w:line="276" w:lineRule="auto"/>
              <w:ind w:left="709"/>
              <w:contextualSpacing w:val="0"/>
              <w:jc w:val="both"/>
            </w:pPr>
            <w:r>
              <w:t xml:space="preserve">Staff who declare their disability status as ‘unspecified’ earn the highest on average, with those preferring not to answer having the lowest earnings on average. </w:t>
            </w:r>
          </w:p>
          <w:p w14:paraId="5C0185BF" w14:textId="469492B1" w:rsidR="008D7F61" w:rsidRPr="00BF0A24" w:rsidRDefault="008D7F61" w:rsidP="008650AE">
            <w:pPr>
              <w:pStyle w:val="Heading1"/>
              <w:numPr>
                <w:ilvl w:val="0"/>
                <w:numId w:val="12"/>
              </w:numPr>
              <w:spacing w:after="0"/>
              <w:ind w:left="709" w:hanging="709"/>
              <w:rPr>
                <w:rFonts w:cs="Arial"/>
                <w:b w:val="0"/>
                <w:bCs/>
                <w:color w:val="auto"/>
                <w:sz w:val="24"/>
                <w:szCs w:val="18"/>
              </w:rPr>
            </w:pPr>
            <w:r w:rsidRPr="008D7F61">
              <w:rPr>
                <w:rFonts w:cs="Arial"/>
                <w:bCs/>
                <w:color w:val="auto"/>
                <w:sz w:val="24"/>
                <w:szCs w:val="18"/>
              </w:rPr>
              <w:t xml:space="preserve">Pay </w:t>
            </w:r>
            <w:r w:rsidRPr="00BF0A24">
              <w:rPr>
                <w:rFonts w:cs="Arial"/>
                <w:bCs/>
                <w:color w:val="auto"/>
                <w:sz w:val="24"/>
                <w:szCs w:val="24"/>
              </w:rPr>
              <w:t>Quartiles</w:t>
            </w:r>
            <w:r w:rsidRPr="008D7F61">
              <w:rPr>
                <w:rFonts w:cs="Arial"/>
                <w:bCs/>
                <w:color w:val="auto"/>
                <w:sz w:val="24"/>
                <w:szCs w:val="18"/>
              </w:rPr>
              <w:t xml:space="preserve"> </w:t>
            </w:r>
          </w:p>
          <w:p w14:paraId="6D96C673" w14:textId="77777777" w:rsidR="008650AE" w:rsidRPr="008650AE" w:rsidRDefault="008650AE" w:rsidP="008650AE">
            <w:pPr>
              <w:pStyle w:val="ListParagraph"/>
              <w:numPr>
                <w:ilvl w:val="0"/>
                <w:numId w:val="18"/>
              </w:numPr>
              <w:spacing w:line="276" w:lineRule="auto"/>
              <w:contextualSpacing w:val="0"/>
              <w:jc w:val="both"/>
              <w:rPr>
                <w:vanish/>
              </w:rPr>
            </w:pPr>
          </w:p>
          <w:p w14:paraId="60B8FC6D" w14:textId="52E4EDF0" w:rsidR="008D7F61" w:rsidRDefault="008D7F61" w:rsidP="008650AE">
            <w:pPr>
              <w:pStyle w:val="ListParagraph"/>
              <w:numPr>
                <w:ilvl w:val="1"/>
                <w:numId w:val="18"/>
              </w:numPr>
              <w:spacing w:after="120" w:line="276" w:lineRule="auto"/>
              <w:ind w:left="709"/>
              <w:contextualSpacing w:val="0"/>
              <w:jc w:val="both"/>
            </w:pPr>
            <w:r>
              <w:t>This data shows the distribution of individuals in different disability declaration group</w:t>
            </w:r>
            <w:r w:rsidR="00BF0A24">
              <w:t xml:space="preserve"> </w:t>
            </w:r>
            <w:r>
              <w:t>across four pay quartiles (1 to 4). These quartiles represent salary bands, with Quartile 1 being the lowest and Quartile 4 being the highest. The numbers show how many individuals from each disability declaration group are in each quartile.</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23"/>
              <w:gridCol w:w="1736"/>
              <w:gridCol w:w="1697"/>
              <w:gridCol w:w="2644"/>
              <w:gridCol w:w="1658"/>
              <w:gridCol w:w="1290"/>
            </w:tblGrid>
            <w:tr w:rsidR="008D7F61" w:rsidRPr="00050954" w14:paraId="3A5F01D0" w14:textId="77777777" w:rsidTr="00BF0A24">
              <w:trPr>
                <w:trHeight w:val="300"/>
              </w:trPr>
              <w:tc>
                <w:tcPr>
                  <w:tcW w:w="638" w:type="pct"/>
                  <w:shd w:val="clear" w:color="auto" w:fill="0070C0"/>
                  <w:vAlign w:val="center"/>
                  <w:hideMark/>
                </w:tcPr>
                <w:p w14:paraId="33B8CC99" w14:textId="77777777" w:rsidR="008D7F61" w:rsidRPr="00BF0A24" w:rsidRDefault="008D7F61" w:rsidP="00BF0A24">
                  <w:pPr>
                    <w:spacing w:after="0" w:line="240" w:lineRule="auto"/>
                    <w:rPr>
                      <w:rFonts w:eastAsia="Times New Roman" w:cs="Arial"/>
                      <w:b/>
                      <w:bCs/>
                      <w:color w:val="FFFFFF"/>
                    </w:rPr>
                  </w:pPr>
                </w:p>
                <w:p w14:paraId="538DCBBE"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Quartile</w:t>
                  </w:r>
                </w:p>
                <w:p w14:paraId="01CE20C7" w14:textId="77777777" w:rsidR="008D7F61" w:rsidRPr="00BF0A24" w:rsidRDefault="008D7F61" w:rsidP="00BF0A24">
                  <w:pPr>
                    <w:spacing w:after="0" w:line="240" w:lineRule="auto"/>
                    <w:rPr>
                      <w:rFonts w:eastAsia="Times New Roman" w:cs="Arial"/>
                      <w:b/>
                      <w:bCs/>
                      <w:color w:val="FFFFFF"/>
                    </w:rPr>
                  </w:pPr>
                </w:p>
                <w:p w14:paraId="5BCC2338" w14:textId="77777777" w:rsidR="008D7F61" w:rsidRPr="00BF0A24" w:rsidRDefault="008D7F61" w:rsidP="00BF0A24">
                  <w:pPr>
                    <w:spacing w:after="0" w:line="240" w:lineRule="auto"/>
                    <w:rPr>
                      <w:rFonts w:eastAsia="Times New Roman" w:cs="Arial"/>
                      <w:b/>
                      <w:bCs/>
                      <w:color w:val="FFFFFF"/>
                    </w:rPr>
                  </w:pPr>
                </w:p>
              </w:tc>
              <w:tc>
                <w:tcPr>
                  <w:tcW w:w="970" w:type="pct"/>
                  <w:shd w:val="clear" w:color="auto" w:fill="0070C0"/>
                  <w:noWrap/>
                  <w:vAlign w:val="center"/>
                </w:tcPr>
                <w:p w14:paraId="41700CA3"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No</w:t>
                  </w:r>
                </w:p>
              </w:tc>
              <w:tc>
                <w:tcPr>
                  <w:tcW w:w="886" w:type="pct"/>
                  <w:shd w:val="clear" w:color="auto" w:fill="0070C0"/>
                  <w:noWrap/>
                  <w:vAlign w:val="center"/>
                </w:tcPr>
                <w:p w14:paraId="02A1AC46"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Not Declared</w:t>
                  </w:r>
                </w:p>
              </w:tc>
              <w:tc>
                <w:tcPr>
                  <w:tcW w:w="805" w:type="pct"/>
                  <w:shd w:val="clear" w:color="auto" w:fill="0070C0"/>
                  <w:noWrap/>
                  <w:vAlign w:val="center"/>
                </w:tcPr>
                <w:p w14:paraId="0F5AB1DB"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 xml:space="preserve">Prefer Not </w:t>
                  </w:r>
                  <w:proofErr w:type="gramStart"/>
                  <w:r w:rsidRPr="00BF0A24">
                    <w:rPr>
                      <w:rFonts w:eastAsia="Times New Roman" w:cs="Arial"/>
                      <w:b/>
                      <w:bCs/>
                      <w:color w:val="FFFFFF"/>
                    </w:rPr>
                    <w:t>To</w:t>
                  </w:r>
                  <w:proofErr w:type="gramEnd"/>
                  <w:r w:rsidRPr="00BF0A24">
                    <w:rPr>
                      <w:rFonts w:eastAsia="Times New Roman" w:cs="Arial"/>
                      <w:b/>
                      <w:bCs/>
                      <w:color w:val="FFFFFF"/>
                    </w:rPr>
                    <w:t xml:space="preserve"> Answer</w:t>
                  </w:r>
                </w:p>
              </w:tc>
              <w:tc>
                <w:tcPr>
                  <w:tcW w:w="966" w:type="pct"/>
                  <w:shd w:val="clear" w:color="auto" w:fill="0070C0"/>
                  <w:noWrap/>
                  <w:vAlign w:val="center"/>
                </w:tcPr>
                <w:p w14:paraId="2565C96C"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Unspecified</w:t>
                  </w:r>
                </w:p>
              </w:tc>
              <w:tc>
                <w:tcPr>
                  <w:tcW w:w="735" w:type="pct"/>
                  <w:shd w:val="clear" w:color="auto" w:fill="0070C0"/>
                  <w:noWrap/>
                  <w:vAlign w:val="center"/>
                </w:tcPr>
                <w:p w14:paraId="4CECFAD1"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Yes</w:t>
                  </w:r>
                </w:p>
              </w:tc>
            </w:tr>
            <w:tr w:rsidR="008D7F61" w:rsidRPr="00050954" w14:paraId="0F58F456" w14:textId="77777777" w:rsidTr="00BF0A24">
              <w:trPr>
                <w:trHeight w:val="300"/>
              </w:trPr>
              <w:tc>
                <w:tcPr>
                  <w:tcW w:w="638" w:type="pct"/>
                  <w:shd w:val="clear" w:color="auto" w:fill="0070C0"/>
                  <w:vAlign w:val="center"/>
                  <w:hideMark/>
                </w:tcPr>
                <w:p w14:paraId="69D552E4"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1</w:t>
                  </w:r>
                </w:p>
              </w:tc>
              <w:tc>
                <w:tcPr>
                  <w:tcW w:w="970" w:type="pct"/>
                  <w:shd w:val="clear" w:color="000000" w:fill="FFFFFF"/>
                  <w:vAlign w:val="center"/>
                </w:tcPr>
                <w:p w14:paraId="37D9D5DC"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1,409</w:t>
                  </w:r>
                </w:p>
              </w:tc>
              <w:tc>
                <w:tcPr>
                  <w:tcW w:w="886" w:type="pct"/>
                  <w:shd w:val="clear" w:color="000000" w:fill="FFFFFF"/>
                  <w:vAlign w:val="center"/>
                </w:tcPr>
                <w:p w14:paraId="3AEE3B61"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375</w:t>
                  </w:r>
                </w:p>
              </w:tc>
              <w:tc>
                <w:tcPr>
                  <w:tcW w:w="805" w:type="pct"/>
                  <w:shd w:val="clear" w:color="000000" w:fill="FFFFFF"/>
                  <w:vAlign w:val="center"/>
                </w:tcPr>
                <w:p w14:paraId="6068C5A3"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22</w:t>
                  </w:r>
                </w:p>
              </w:tc>
              <w:tc>
                <w:tcPr>
                  <w:tcW w:w="966" w:type="pct"/>
                  <w:shd w:val="clear" w:color="000000" w:fill="FFFFFF"/>
                  <w:vAlign w:val="center"/>
                </w:tcPr>
                <w:p w14:paraId="2E72F068"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339</w:t>
                  </w:r>
                </w:p>
              </w:tc>
              <w:tc>
                <w:tcPr>
                  <w:tcW w:w="735" w:type="pct"/>
                  <w:shd w:val="clear" w:color="000000" w:fill="FFFFFF"/>
                  <w:vAlign w:val="center"/>
                </w:tcPr>
                <w:p w14:paraId="0A7D98BB"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178</w:t>
                  </w:r>
                </w:p>
              </w:tc>
            </w:tr>
            <w:tr w:rsidR="008D7F61" w:rsidRPr="00050954" w14:paraId="039EBA06" w14:textId="77777777" w:rsidTr="00BF0A24">
              <w:trPr>
                <w:trHeight w:val="300"/>
              </w:trPr>
              <w:tc>
                <w:tcPr>
                  <w:tcW w:w="638" w:type="pct"/>
                  <w:shd w:val="clear" w:color="auto" w:fill="0070C0"/>
                  <w:vAlign w:val="center"/>
                  <w:hideMark/>
                </w:tcPr>
                <w:p w14:paraId="62A235C5"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2</w:t>
                  </w:r>
                </w:p>
              </w:tc>
              <w:tc>
                <w:tcPr>
                  <w:tcW w:w="970" w:type="pct"/>
                  <w:shd w:val="clear" w:color="000000" w:fill="FFFFFF"/>
                  <w:vAlign w:val="center"/>
                </w:tcPr>
                <w:p w14:paraId="03F5BF0E"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1,452</w:t>
                  </w:r>
                </w:p>
              </w:tc>
              <w:tc>
                <w:tcPr>
                  <w:tcW w:w="886" w:type="pct"/>
                  <w:shd w:val="clear" w:color="000000" w:fill="FFFFFF"/>
                  <w:vAlign w:val="center"/>
                </w:tcPr>
                <w:p w14:paraId="05AF3290"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371</w:t>
                  </w:r>
                </w:p>
              </w:tc>
              <w:tc>
                <w:tcPr>
                  <w:tcW w:w="805" w:type="pct"/>
                  <w:shd w:val="clear" w:color="000000" w:fill="FFFFFF"/>
                  <w:vAlign w:val="center"/>
                </w:tcPr>
                <w:p w14:paraId="2D3373D0"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11</w:t>
                  </w:r>
                </w:p>
              </w:tc>
              <w:tc>
                <w:tcPr>
                  <w:tcW w:w="966" w:type="pct"/>
                  <w:shd w:val="clear" w:color="000000" w:fill="FFFFFF"/>
                  <w:vAlign w:val="center"/>
                </w:tcPr>
                <w:p w14:paraId="29EEC091"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408</w:t>
                  </w:r>
                </w:p>
              </w:tc>
              <w:tc>
                <w:tcPr>
                  <w:tcW w:w="735" w:type="pct"/>
                  <w:shd w:val="clear" w:color="000000" w:fill="FFFFFF"/>
                  <w:vAlign w:val="center"/>
                </w:tcPr>
                <w:p w14:paraId="475E3186"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124</w:t>
                  </w:r>
                </w:p>
              </w:tc>
            </w:tr>
            <w:tr w:rsidR="008D7F61" w:rsidRPr="00050954" w14:paraId="5ABAEF39" w14:textId="77777777" w:rsidTr="00BF0A24">
              <w:trPr>
                <w:trHeight w:val="300"/>
              </w:trPr>
              <w:tc>
                <w:tcPr>
                  <w:tcW w:w="638" w:type="pct"/>
                  <w:shd w:val="clear" w:color="auto" w:fill="0070C0"/>
                  <w:vAlign w:val="center"/>
                  <w:hideMark/>
                </w:tcPr>
                <w:p w14:paraId="7B533192"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3</w:t>
                  </w:r>
                </w:p>
              </w:tc>
              <w:tc>
                <w:tcPr>
                  <w:tcW w:w="970" w:type="pct"/>
                  <w:shd w:val="clear" w:color="000000" w:fill="FFFFFF"/>
                  <w:vAlign w:val="center"/>
                </w:tcPr>
                <w:p w14:paraId="41A1B37D"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1,441</w:t>
                  </w:r>
                </w:p>
              </w:tc>
              <w:tc>
                <w:tcPr>
                  <w:tcW w:w="886" w:type="pct"/>
                  <w:shd w:val="clear" w:color="000000" w:fill="FFFFFF"/>
                  <w:vAlign w:val="center"/>
                </w:tcPr>
                <w:p w14:paraId="736F8937"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401</w:t>
                  </w:r>
                </w:p>
              </w:tc>
              <w:tc>
                <w:tcPr>
                  <w:tcW w:w="805" w:type="pct"/>
                  <w:shd w:val="clear" w:color="000000" w:fill="FFFFFF"/>
                  <w:vAlign w:val="center"/>
                </w:tcPr>
                <w:p w14:paraId="18EFF5C6"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9</w:t>
                  </w:r>
                </w:p>
              </w:tc>
              <w:tc>
                <w:tcPr>
                  <w:tcW w:w="966" w:type="pct"/>
                  <w:shd w:val="clear" w:color="000000" w:fill="FFFFFF"/>
                  <w:vAlign w:val="center"/>
                </w:tcPr>
                <w:p w14:paraId="48B46AE5"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365</w:t>
                  </w:r>
                </w:p>
              </w:tc>
              <w:tc>
                <w:tcPr>
                  <w:tcW w:w="735" w:type="pct"/>
                  <w:shd w:val="clear" w:color="000000" w:fill="FFFFFF"/>
                  <w:vAlign w:val="center"/>
                </w:tcPr>
                <w:p w14:paraId="4C75B559"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94</w:t>
                  </w:r>
                </w:p>
              </w:tc>
            </w:tr>
            <w:tr w:rsidR="008D7F61" w:rsidRPr="00050954" w14:paraId="7E1AFA03" w14:textId="77777777" w:rsidTr="00BF0A24">
              <w:trPr>
                <w:trHeight w:val="300"/>
              </w:trPr>
              <w:tc>
                <w:tcPr>
                  <w:tcW w:w="638" w:type="pct"/>
                  <w:shd w:val="clear" w:color="auto" w:fill="0070C0"/>
                  <w:vAlign w:val="center"/>
                  <w:hideMark/>
                </w:tcPr>
                <w:p w14:paraId="50783A05" w14:textId="77777777" w:rsidR="008D7F61" w:rsidRPr="00BF0A24" w:rsidRDefault="008D7F61" w:rsidP="00BF0A24">
                  <w:pPr>
                    <w:spacing w:after="0" w:line="240" w:lineRule="auto"/>
                    <w:rPr>
                      <w:rFonts w:eastAsia="Times New Roman" w:cs="Arial"/>
                      <w:b/>
                      <w:bCs/>
                      <w:color w:val="FFFFFF"/>
                    </w:rPr>
                  </w:pPr>
                  <w:r w:rsidRPr="00BF0A24">
                    <w:rPr>
                      <w:rFonts w:eastAsia="Times New Roman" w:cs="Arial"/>
                      <w:b/>
                      <w:bCs/>
                      <w:color w:val="FFFFFF"/>
                    </w:rPr>
                    <w:t>4</w:t>
                  </w:r>
                </w:p>
              </w:tc>
              <w:tc>
                <w:tcPr>
                  <w:tcW w:w="970" w:type="pct"/>
                  <w:shd w:val="clear" w:color="000000" w:fill="FFFFFF"/>
                  <w:vAlign w:val="center"/>
                </w:tcPr>
                <w:p w14:paraId="2F56A344"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1,463</w:t>
                  </w:r>
                </w:p>
              </w:tc>
              <w:tc>
                <w:tcPr>
                  <w:tcW w:w="886" w:type="pct"/>
                  <w:shd w:val="clear" w:color="000000" w:fill="FFFFFF"/>
                  <w:vAlign w:val="center"/>
                </w:tcPr>
                <w:p w14:paraId="29C22C30"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290</w:t>
                  </w:r>
                </w:p>
              </w:tc>
              <w:tc>
                <w:tcPr>
                  <w:tcW w:w="805" w:type="pct"/>
                  <w:shd w:val="clear" w:color="000000" w:fill="FFFFFF"/>
                  <w:vAlign w:val="center"/>
                </w:tcPr>
                <w:p w14:paraId="19260807"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5</w:t>
                  </w:r>
                </w:p>
              </w:tc>
              <w:tc>
                <w:tcPr>
                  <w:tcW w:w="966" w:type="pct"/>
                  <w:shd w:val="clear" w:color="000000" w:fill="FFFFFF"/>
                  <w:vAlign w:val="center"/>
                </w:tcPr>
                <w:p w14:paraId="630EBF2B"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555</w:t>
                  </w:r>
                </w:p>
              </w:tc>
              <w:tc>
                <w:tcPr>
                  <w:tcW w:w="735" w:type="pct"/>
                  <w:shd w:val="clear" w:color="000000" w:fill="FFFFFF"/>
                  <w:vAlign w:val="center"/>
                </w:tcPr>
                <w:p w14:paraId="47C8D187" w14:textId="77777777" w:rsidR="008D7F61" w:rsidRPr="00050954" w:rsidRDefault="008D7F61" w:rsidP="00BF0A24">
                  <w:pPr>
                    <w:spacing w:after="0" w:line="240" w:lineRule="auto"/>
                    <w:rPr>
                      <w:rFonts w:eastAsia="Times New Roman" w:cs="Arial"/>
                      <w:color w:val="000000"/>
                    </w:rPr>
                  </w:pPr>
                  <w:r>
                    <w:rPr>
                      <w:rFonts w:eastAsia="Times New Roman" w:cs="Arial"/>
                      <w:color w:val="000000"/>
                    </w:rPr>
                    <w:t>70</w:t>
                  </w:r>
                </w:p>
              </w:tc>
            </w:tr>
          </w:tbl>
          <w:p w14:paraId="6BF63A5A" w14:textId="15F6E8D3" w:rsidR="008D7F61" w:rsidRPr="00267409" w:rsidRDefault="008D7F61" w:rsidP="008650AE">
            <w:pPr>
              <w:pStyle w:val="ListParagraph"/>
              <w:numPr>
                <w:ilvl w:val="1"/>
                <w:numId w:val="18"/>
              </w:numPr>
              <w:spacing w:before="120" w:after="120" w:line="276" w:lineRule="auto"/>
              <w:ind w:left="709"/>
              <w:contextualSpacing w:val="0"/>
              <w:jc w:val="both"/>
            </w:pPr>
            <w:r w:rsidRPr="00267409">
              <w:t xml:space="preserve">Non-disabled staff are the largest group across all pay quartiles, with second largest being either unspecified or not declared depending on quartile. The unspecified group peaks in Quartile 4, whereas </w:t>
            </w:r>
            <w:r>
              <w:t>numbers that have not declared</w:t>
            </w:r>
            <w:r w:rsidRPr="00267409">
              <w:t xml:space="preserve"> peak in Quartile 3. The number in both the prefer not to answer</w:t>
            </w:r>
            <w:r>
              <w:t xml:space="preserve"> group</w:t>
            </w:r>
            <w:r w:rsidRPr="00267409">
              <w:t xml:space="preserve"> and those answering yes to having a disability decrease as the quartiles increase. </w:t>
            </w:r>
          </w:p>
          <w:p w14:paraId="602972DF" w14:textId="37669B3F" w:rsidR="008D7F61" w:rsidRPr="008D7F61" w:rsidRDefault="008D7F61" w:rsidP="008650AE">
            <w:pPr>
              <w:pStyle w:val="Heading1"/>
              <w:numPr>
                <w:ilvl w:val="0"/>
                <w:numId w:val="12"/>
              </w:numPr>
              <w:spacing w:after="0"/>
              <w:ind w:left="709" w:hanging="709"/>
              <w:rPr>
                <w:rFonts w:eastAsia="Times New Roman" w:cs="Arial"/>
                <w:b w:val="0"/>
                <w:bCs/>
                <w:color w:val="auto"/>
                <w:sz w:val="24"/>
                <w:szCs w:val="24"/>
              </w:rPr>
            </w:pPr>
            <w:r w:rsidRPr="008D7F61">
              <w:rPr>
                <w:rFonts w:eastAsia="Times New Roman" w:cs="Arial"/>
                <w:bCs/>
                <w:color w:val="auto"/>
                <w:sz w:val="24"/>
                <w:szCs w:val="24"/>
              </w:rPr>
              <w:lastRenderedPageBreak/>
              <w:t>Disability Local Clinical Excellence Awards Bonus Payments</w:t>
            </w:r>
            <w:r w:rsidRPr="008D7F61">
              <w:rPr>
                <w:rFonts w:cs="Arial"/>
                <w:bCs/>
                <w:color w:val="auto"/>
                <w:sz w:val="24"/>
                <w:szCs w:val="24"/>
              </w:rPr>
              <w:t xml:space="preserve"> </w:t>
            </w:r>
            <w:r w:rsidRPr="008D7F61">
              <w:rPr>
                <w:rFonts w:eastAsia="Times New Roman" w:cs="Arial"/>
                <w:bCs/>
                <w:color w:val="auto"/>
                <w:sz w:val="24"/>
                <w:szCs w:val="24"/>
              </w:rPr>
              <w:t>2025</w:t>
            </w:r>
          </w:p>
          <w:p w14:paraId="46A4262E" w14:textId="77777777" w:rsidR="008650AE" w:rsidRPr="008650AE" w:rsidRDefault="008650AE" w:rsidP="008650AE">
            <w:pPr>
              <w:pStyle w:val="ListParagraph"/>
              <w:numPr>
                <w:ilvl w:val="0"/>
                <w:numId w:val="18"/>
              </w:numPr>
              <w:spacing w:after="120" w:line="276" w:lineRule="auto"/>
              <w:contextualSpacing w:val="0"/>
              <w:jc w:val="both"/>
              <w:rPr>
                <w:rFonts w:eastAsia="Times New Roman" w:cs="Arial"/>
                <w:vanish/>
              </w:rPr>
            </w:pPr>
          </w:p>
          <w:p w14:paraId="3128CFAC" w14:textId="5920492D" w:rsidR="008D7F61" w:rsidRPr="00267409" w:rsidRDefault="008D7F61" w:rsidP="008650AE">
            <w:pPr>
              <w:pStyle w:val="ListParagraph"/>
              <w:numPr>
                <w:ilvl w:val="1"/>
                <w:numId w:val="18"/>
              </w:numPr>
              <w:spacing w:after="120" w:line="276" w:lineRule="auto"/>
              <w:ind w:left="709"/>
              <w:contextualSpacing w:val="0"/>
              <w:jc w:val="both"/>
              <w:rPr>
                <w:rFonts w:eastAsia="Times New Roman" w:cs="Arial"/>
              </w:rPr>
            </w:pPr>
            <w:r w:rsidRPr="00267409">
              <w:rPr>
                <w:rFonts w:eastAsia="Times New Roman" w:cs="Arial"/>
              </w:rPr>
              <w:t xml:space="preserve">163 </w:t>
            </w:r>
            <w:r w:rsidRPr="00BF0A24">
              <w:t>bonus</w:t>
            </w:r>
            <w:r w:rsidRPr="00267409">
              <w:rPr>
                <w:rFonts w:eastAsia="Times New Roman" w:cs="Arial"/>
              </w:rPr>
              <w:t xml:space="preserve"> payments were made to medical and dental staff in 2025. There are </w:t>
            </w:r>
            <w:r>
              <w:rPr>
                <w:rFonts w:eastAsia="Times New Roman" w:cs="Arial"/>
              </w:rPr>
              <w:t>7</w:t>
            </w:r>
            <w:r w:rsidRPr="00267409">
              <w:rPr>
                <w:rFonts w:eastAsia="Times New Roman" w:cs="Arial"/>
              </w:rPr>
              <w:t xml:space="preserve"> (</w:t>
            </w:r>
            <w:r>
              <w:rPr>
                <w:rFonts w:eastAsia="Times New Roman" w:cs="Arial"/>
              </w:rPr>
              <w:t>4</w:t>
            </w:r>
            <w:r w:rsidRPr="00267409">
              <w:rPr>
                <w:rFonts w:eastAsia="Times New Roman" w:cs="Arial"/>
              </w:rPr>
              <w:t xml:space="preserve">%) that have declared a disability, compared to </w:t>
            </w:r>
            <w:r>
              <w:rPr>
                <w:rFonts w:eastAsia="Times New Roman" w:cs="Arial"/>
              </w:rPr>
              <w:t>82</w:t>
            </w:r>
            <w:r w:rsidRPr="00267409">
              <w:rPr>
                <w:rFonts w:eastAsia="Times New Roman" w:cs="Arial"/>
              </w:rPr>
              <w:t xml:space="preserve"> (</w:t>
            </w:r>
            <w:r>
              <w:rPr>
                <w:rFonts w:eastAsia="Times New Roman" w:cs="Arial"/>
              </w:rPr>
              <w:t>50</w:t>
            </w:r>
            <w:r w:rsidRPr="00267409">
              <w:rPr>
                <w:rFonts w:eastAsia="Times New Roman" w:cs="Arial"/>
              </w:rPr>
              <w:t>%) who have declared they have no disability, with 7</w:t>
            </w:r>
            <w:r>
              <w:rPr>
                <w:rFonts w:eastAsia="Times New Roman" w:cs="Arial"/>
              </w:rPr>
              <w:t>2</w:t>
            </w:r>
            <w:r w:rsidRPr="00267409">
              <w:rPr>
                <w:rFonts w:eastAsia="Times New Roman" w:cs="Arial"/>
              </w:rPr>
              <w:t xml:space="preserve"> (4</w:t>
            </w:r>
            <w:r>
              <w:rPr>
                <w:rFonts w:eastAsia="Times New Roman" w:cs="Arial"/>
              </w:rPr>
              <w:t>4</w:t>
            </w:r>
            <w:r w:rsidRPr="00267409">
              <w:rPr>
                <w:rFonts w:eastAsia="Times New Roman" w:cs="Arial"/>
              </w:rPr>
              <w:t>%) of those not declaring their disability status, and 2 (</w:t>
            </w:r>
            <w:r>
              <w:rPr>
                <w:rFonts w:eastAsia="Times New Roman" w:cs="Arial"/>
              </w:rPr>
              <w:t>1</w:t>
            </w:r>
            <w:r w:rsidRPr="00267409">
              <w:rPr>
                <w:rFonts w:eastAsia="Times New Roman" w:cs="Arial"/>
              </w:rPr>
              <w:t>%) with an unspecified disability declaration.</w:t>
            </w:r>
          </w:p>
          <w:p w14:paraId="05B3BA3A" w14:textId="3620CC13" w:rsidR="008D7F61" w:rsidRPr="008D7F61" w:rsidRDefault="008D7F61" w:rsidP="008650AE">
            <w:pPr>
              <w:pStyle w:val="Heading1"/>
              <w:numPr>
                <w:ilvl w:val="0"/>
                <w:numId w:val="12"/>
              </w:numPr>
              <w:spacing w:after="0"/>
              <w:ind w:left="709" w:hanging="709"/>
              <w:rPr>
                <w:rFonts w:eastAsia="Times New Roman" w:cs="Arial"/>
                <w:b w:val="0"/>
                <w:bCs/>
                <w:color w:val="auto"/>
                <w:sz w:val="24"/>
                <w:szCs w:val="24"/>
              </w:rPr>
            </w:pPr>
            <w:r w:rsidRPr="008D7F61">
              <w:rPr>
                <w:rFonts w:eastAsia="Times New Roman" w:cs="Arial"/>
                <w:bCs/>
                <w:color w:val="auto"/>
                <w:sz w:val="24"/>
                <w:szCs w:val="24"/>
              </w:rPr>
              <w:t>Disability Pay Gap Conclusion</w:t>
            </w:r>
          </w:p>
          <w:p w14:paraId="342A95E5" w14:textId="77777777" w:rsidR="008650AE" w:rsidRPr="008650AE" w:rsidRDefault="008650AE" w:rsidP="008650AE">
            <w:pPr>
              <w:pStyle w:val="ListParagraph"/>
              <w:numPr>
                <w:ilvl w:val="0"/>
                <w:numId w:val="18"/>
              </w:numPr>
              <w:spacing w:line="276" w:lineRule="auto"/>
              <w:contextualSpacing w:val="0"/>
              <w:jc w:val="both"/>
              <w:rPr>
                <w:rFonts w:cs="Arial"/>
                <w:vanish/>
                <w:color w:val="000000" w:themeColor="text1"/>
              </w:rPr>
            </w:pPr>
          </w:p>
          <w:p w14:paraId="5AFBF426" w14:textId="5B5A598E" w:rsidR="008D7F61" w:rsidRPr="00BF0A24" w:rsidRDefault="008D7F61" w:rsidP="008650AE">
            <w:pPr>
              <w:pStyle w:val="ListParagraph"/>
              <w:numPr>
                <w:ilvl w:val="1"/>
                <w:numId w:val="18"/>
              </w:numPr>
              <w:spacing w:line="276" w:lineRule="auto"/>
              <w:ind w:left="709"/>
              <w:contextualSpacing w:val="0"/>
              <w:jc w:val="both"/>
            </w:pPr>
            <w:r w:rsidRPr="0083744A">
              <w:rPr>
                <w:rFonts w:cs="Arial"/>
                <w:color w:val="000000" w:themeColor="text1"/>
              </w:rPr>
              <w:t xml:space="preserve">The 2025 Disability Pay Gap for Gloucestershire Hospitals NHS Foundation Trust is </w:t>
            </w:r>
            <w:r w:rsidRPr="00267409">
              <w:rPr>
                <w:rFonts w:cs="Arial"/>
                <w:color w:val="000000" w:themeColor="text1"/>
              </w:rPr>
              <w:t>13.</w:t>
            </w:r>
            <w:r>
              <w:rPr>
                <w:rFonts w:cs="Arial"/>
                <w:color w:val="000000" w:themeColor="text1"/>
              </w:rPr>
              <w:t>1</w:t>
            </w:r>
            <w:r w:rsidRPr="00BF0A24">
              <w:t>% in favour of non</w:t>
            </w:r>
            <w:r w:rsidRPr="00BF0A24">
              <w:noBreakHyphen/>
              <w:t>disabled staff.</w:t>
            </w:r>
          </w:p>
          <w:p w14:paraId="0ED22EAC" w14:textId="50C68D61" w:rsidR="008D7F61" w:rsidRPr="00BF0A24" w:rsidRDefault="008D7F61" w:rsidP="00BF0A24">
            <w:pPr>
              <w:pStyle w:val="ListParagraph"/>
              <w:numPr>
                <w:ilvl w:val="1"/>
                <w:numId w:val="18"/>
              </w:numPr>
              <w:spacing w:line="276" w:lineRule="auto"/>
              <w:ind w:left="709"/>
              <w:contextualSpacing w:val="0"/>
              <w:jc w:val="both"/>
            </w:pPr>
            <w:r w:rsidRPr="00BF0A24">
              <w:t>Disabled staff are underrepresented in higher</w:t>
            </w:r>
            <w:r w:rsidRPr="00BF0A24">
              <w:noBreakHyphen/>
              <w:t>banded roles and more likely to work in lower</w:t>
            </w:r>
            <w:r w:rsidRPr="00BF0A24">
              <w:noBreakHyphen/>
              <w:t>banded, frontline, or part</w:t>
            </w:r>
            <w:r w:rsidRPr="00BF0A24">
              <w:noBreakHyphen/>
              <w:t>time positions, which can reduce average earnings. Some colleagues may also face barriers to progression, including limited access to development opportunities or challenges securing workplace adjustments, as reflected in staff survey feedback. Non</w:t>
            </w:r>
            <w:r w:rsidRPr="00BF0A24">
              <w:noBreakHyphen/>
              <w:t>disabled staff are more likely to hold senior roles, which contributes to the overall gap.</w:t>
            </w:r>
          </w:p>
          <w:p w14:paraId="150477B1" w14:textId="335F2AF3" w:rsidR="009712DB" w:rsidRPr="005251A6" w:rsidRDefault="008D7F61" w:rsidP="005251A6">
            <w:pPr>
              <w:pStyle w:val="ListParagraph"/>
              <w:numPr>
                <w:ilvl w:val="1"/>
                <w:numId w:val="18"/>
              </w:numPr>
              <w:spacing w:after="120" w:line="276" w:lineRule="auto"/>
              <w:ind w:left="709"/>
              <w:contextualSpacing w:val="0"/>
              <w:jc w:val="both"/>
              <w:rPr>
                <w:rFonts w:cs="Arial"/>
                <w:color w:val="000000" w:themeColor="text1"/>
              </w:rPr>
            </w:pPr>
            <w:r w:rsidRPr="00BF0A24">
              <w:t>Publishing this data helps the Trust identify where improvement is needed and focus on creating a more inclusive and supportive environment for disabled colleagues</w:t>
            </w:r>
            <w:r w:rsidRPr="0083744A">
              <w:rPr>
                <w:rFonts w:cs="Arial"/>
                <w:color w:val="000000" w:themeColor="text1"/>
              </w:rPr>
              <w:t>. Our priority is to strengthen access to development, progression pathways, and appropriate adjustments so that all staff can thrive and progress equitably within the organisation</w:t>
            </w:r>
            <w:r>
              <w:rPr>
                <w:rFonts w:cs="Arial"/>
                <w:color w:val="000000" w:themeColor="text1"/>
              </w:rPr>
              <w:t>.</w:t>
            </w:r>
          </w:p>
        </w:tc>
      </w:tr>
      <w:tr w:rsidR="00BF0A24" w14:paraId="34DC38AC" w14:textId="77777777" w:rsidTr="00BF0A24">
        <w:tc>
          <w:tcPr>
            <w:tcW w:w="5000" w:type="pct"/>
          </w:tcPr>
          <w:p w14:paraId="291F67C2" w14:textId="77777777" w:rsidR="00BF0A24" w:rsidRDefault="00BF0A24" w:rsidP="00196BFB">
            <w:r>
              <w:lastRenderedPageBreak/>
              <w:t>Enclosures</w:t>
            </w:r>
          </w:p>
        </w:tc>
      </w:tr>
      <w:tr w:rsidR="009712DB" w:rsidRPr="009712DB" w14:paraId="16A9527E" w14:textId="77777777" w:rsidTr="00BF0A24">
        <w:tc>
          <w:tcPr>
            <w:tcW w:w="5000" w:type="pct"/>
          </w:tcPr>
          <w:p w14:paraId="5F81EE8C" w14:textId="0716A3B0" w:rsidR="009712DB" w:rsidRPr="00BF0A24" w:rsidRDefault="00BF0A24" w:rsidP="001C628F">
            <w:r w:rsidRPr="00BF0A24">
              <w:t>N/A</w:t>
            </w:r>
          </w:p>
        </w:tc>
      </w:tr>
      <w:tr w:rsidR="009712DB" w:rsidRPr="009712DB" w14:paraId="240E5F0C" w14:textId="77777777" w:rsidTr="00BF0A24">
        <w:tc>
          <w:tcPr>
            <w:tcW w:w="5000" w:type="pct"/>
          </w:tcPr>
          <w:p w14:paraId="78CE793F" w14:textId="3DF8B229" w:rsidR="008C436E" w:rsidRPr="009712DB" w:rsidRDefault="008C436E" w:rsidP="001C628F">
            <w:pPr>
              <w:rPr>
                <w:i/>
                <w:iCs/>
                <w:sz w:val="22"/>
                <w:szCs w:val="22"/>
              </w:rPr>
            </w:pPr>
            <w:r w:rsidRPr="009712DB">
              <w:t xml:space="preserve">FOI: </w:t>
            </w:r>
            <w:r w:rsidR="00BF0A24">
              <w:t>Public</w:t>
            </w:r>
          </w:p>
        </w:tc>
      </w:tr>
    </w:tbl>
    <w:p w14:paraId="5BF7CCCC" w14:textId="77777777" w:rsidR="008C436E" w:rsidRDefault="008C436E"/>
    <w:sectPr w:rsidR="008C436E" w:rsidSect="008C436E">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5B9E" w14:textId="77777777" w:rsidR="00EC4A06" w:rsidRDefault="00EC4A06" w:rsidP="00A46590">
      <w:pPr>
        <w:spacing w:after="0" w:line="240" w:lineRule="auto"/>
      </w:pPr>
      <w:r>
        <w:separator/>
      </w:r>
    </w:p>
  </w:endnote>
  <w:endnote w:type="continuationSeparator" w:id="0">
    <w:p w14:paraId="37BAD89F" w14:textId="77777777" w:rsidR="00EC4A06" w:rsidRDefault="00EC4A06" w:rsidP="00A46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B214" w14:textId="77777777" w:rsidR="00B60CAE" w:rsidRDefault="00B60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A7" w14:textId="77777777" w:rsidR="00B60CAE" w:rsidRDefault="00B60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8E5E" w14:textId="77777777" w:rsidR="00B60CAE" w:rsidRDefault="00B60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001B" w14:textId="77777777" w:rsidR="00EC4A06" w:rsidRDefault="00EC4A06" w:rsidP="00A46590">
      <w:pPr>
        <w:spacing w:after="0" w:line="240" w:lineRule="auto"/>
      </w:pPr>
      <w:r>
        <w:separator/>
      </w:r>
    </w:p>
  </w:footnote>
  <w:footnote w:type="continuationSeparator" w:id="0">
    <w:p w14:paraId="22952963" w14:textId="77777777" w:rsidR="00EC4A06" w:rsidRDefault="00EC4A06" w:rsidP="00A46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FADA" w14:textId="222D9785" w:rsidR="00B60CAE" w:rsidRDefault="00B60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E612" w14:textId="4A1A9B4A" w:rsidR="00B60CAE" w:rsidRDefault="00B60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3994" w14:textId="2542044F" w:rsidR="008C436E" w:rsidRDefault="00C37728">
    <w:pPr>
      <w:pStyle w:val="Header"/>
    </w:pPr>
    <w:sdt>
      <w:sdtPr>
        <w:id w:val="-514380651"/>
        <w:docPartObj>
          <w:docPartGallery w:val="Watermarks"/>
          <w:docPartUnique/>
        </w:docPartObj>
      </w:sdtPr>
      <w:sdtContent>
        <w:r>
          <w:pict w14:anchorId="40AE1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C436E">
      <w:rPr>
        <w:noProof/>
        <w:lang w:eastAsia="en-GB"/>
      </w:rPr>
      <w:drawing>
        <wp:anchor distT="0" distB="0" distL="114300" distR="114300" simplePos="0" relativeHeight="251659264" behindDoc="1" locked="0" layoutInCell="1" allowOverlap="1" wp14:anchorId="7ADC5F29" wp14:editId="5B3E47DF">
          <wp:simplePos x="0" y="0"/>
          <wp:positionH relativeFrom="page">
            <wp:posOffset>-19050</wp:posOffset>
          </wp:positionH>
          <wp:positionV relativeFrom="page">
            <wp:posOffset>1270</wp:posOffset>
          </wp:positionV>
          <wp:extent cx="7585710" cy="1485900"/>
          <wp:effectExtent l="0" t="0" r="0" b="0"/>
          <wp:wrapTopAndBottom/>
          <wp:docPr id="2103471502" name="Picture 210347150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71502" name="Picture 2103471502"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86151"/>
                  <a:stretch>
                    <a:fillRect/>
                  </a:stretch>
                </pic:blipFill>
                <pic:spPr bwMode="auto">
                  <a:xfrm>
                    <a:off x="0" y="0"/>
                    <a:ext cx="7585710" cy="148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6CB"/>
    <w:multiLevelType w:val="hybridMultilevel"/>
    <w:tmpl w:val="393E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73F41"/>
    <w:multiLevelType w:val="multilevel"/>
    <w:tmpl w:val="DB861EE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5780F54"/>
    <w:multiLevelType w:val="multilevel"/>
    <w:tmpl w:val="54325A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C645E7"/>
    <w:multiLevelType w:val="hybridMultilevel"/>
    <w:tmpl w:val="DF8A2C04"/>
    <w:lvl w:ilvl="0" w:tplc="D0CEE3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30665"/>
    <w:multiLevelType w:val="hybridMultilevel"/>
    <w:tmpl w:val="17EE5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05C62"/>
    <w:multiLevelType w:val="multilevel"/>
    <w:tmpl w:val="83782CF2"/>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1C2843"/>
    <w:multiLevelType w:val="hybridMultilevel"/>
    <w:tmpl w:val="9A8A12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09A63D4"/>
    <w:multiLevelType w:val="multilevel"/>
    <w:tmpl w:val="EE46A6DC"/>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117C48"/>
    <w:multiLevelType w:val="hybridMultilevel"/>
    <w:tmpl w:val="789C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E4F5F"/>
    <w:multiLevelType w:val="multilevel"/>
    <w:tmpl w:val="45901E2A"/>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B5F24C4"/>
    <w:multiLevelType w:val="hybridMultilevel"/>
    <w:tmpl w:val="4D02D902"/>
    <w:lvl w:ilvl="0" w:tplc="D0CEE3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4040E"/>
    <w:multiLevelType w:val="hybridMultilevel"/>
    <w:tmpl w:val="A9C094E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F6E3EE4"/>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29C3BF9"/>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9A530D4"/>
    <w:multiLevelType w:val="hybridMultilevel"/>
    <w:tmpl w:val="F86CF2C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3F8105B4"/>
    <w:multiLevelType w:val="multilevel"/>
    <w:tmpl w:val="2F90096E"/>
    <w:lvl w:ilvl="0">
      <w:start w:val="6"/>
      <w:numFmt w:val="decimal"/>
      <w:lvlText w:val="%1."/>
      <w:lvlJc w:val="left"/>
      <w:pPr>
        <w:ind w:left="532" w:hanging="390"/>
      </w:pPr>
      <w:rPr>
        <w:rFonts w:hint="default"/>
        <w:sz w:val="24"/>
        <w:szCs w:val="24"/>
      </w:rPr>
    </w:lvl>
    <w:lvl w:ilvl="1">
      <w:start w:val="1"/>
      <w:numFmt w:val="decimal"/>
      <w:lvlText w:val="%1.%2."/>
      <w:lvlJc w:val="left"/>
      <w:pPr>
        <w:ind w:left="1440" w:hanging="720"/>
      </w:pPr>
      <w:rPr>
        <w:rFonts w:hint="default"/>
        <w:b w:val="0"/>
        <w:bCs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04130FC"/>
    <w:multiLevelType w:val="hybridMultilevel"/>
    <w:tmpl w:val="FD24F02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43CD414D"/>
    <w:multiLevelType w:val="multilevel"/>
    <w:tmpl w:val="CE8C862A"/>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5080554"/>
    <w:multiLevelType w:val="hybridMultilevel"/>
    <w:tmpl w:val="2B90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66D9E"/>
    <w:multiLevelType w:val="multilevel"/>
    <w:tmpl w:val="3044017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D3816F6"/>
    <w:multiLevelType w:val="hybridMultilevel"/>
    <w:tmpl w:val="2516146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546F7E38"/>
    <w:multiLevelType w:val="multilevel"/>
    <w:tmpl w:val="6B58B1DE"/>
    <w:lvl w:ilvl="0">
      <w:start w:val="1"/>
      <w:numFmt w:val="decimal"/>
      <w:lvlText w:val="%1."/>
      <w:lvlJc w:val="left"/>
      <w:pPr>
        <w:ind w:left="1080" w:hanging="360"/>
      </w:pPr>
      <w:rPr>
        <w:rFonts w:hint="default"/>
      </w:rPr>
    </w:lvl>
    <w:lvl w:ilvl="1">
      <w:start w:val="5"/>
      <w:numFmt w:val="decimal"/>
      <w:isLgl/>
      <w:lvlText w:val="%1.%2"/>
      <w:lvlJc w:val="left"/>
      <w:pPr>
        <w:ind w:left="1476" w:hanging="396"/>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58FB6D9F"/>
    <w:multiLevelType w:val="hybridMultilevel"/>
    <w:tmpl w:val="8A542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8453B2"/>
    <w:multiLevelType w:val="multilevel"/>
    <w:tmpl w:val="2736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2218BA"/>
    <w:multiLevelType w:val="multilevel"/>
    <w:tmpl w:val="4D9CBEC4"/>
    <w:lvl w:ilvl="0">
      <w:start w:val="1"/>
      <w:numFmt w:val="decimal"/>
      <w:lvlText w:val="%1."/>
      <w:lvlJc w:val="left"/>
      <w:pPr>
        <w:ind w:left="360" w:hanging="360"/>
      </w:pPr>
    </w:lvl>
    <w:lvl w:ilvl="1">
      <w:start w:val="1"/>
      <w:numFmt w:val="decimal"/>
      <w:lvlText w:val="%1.%2."/>
      <w:lvlJc w:val="left"/>
      <w:pPr>
        <w:ind w:left="567" w:hanging="567"/>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E6030E"/>
    <w:multiLevelType w:val="hybridMultilevel"/>
    <w:tmpl w:val="C7AC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F0B44"/>
    <w:multiLevelType w:val="hybridMultilevel"/>
    <w:tmpl w:val="AB148EE4"/>
    <w:lvl w:ilvl="0" w:tplc="21FC2D60">
      <w:start w:val="1"/>
      <w:numFmt w:val="decimal"/>
      <w:lvlText w:val="%1."/>
      <w:lvlJc w:val="left"/>
      <w:pPr>
        <w:ind w:left="1287" w:hanging="360"/>
      </w:pPr>
      <w:rPr>
        <w:rFonts w:ascii="Arial" w:eastAsiaTheme="minorHAnsi" w:hAnsi="Arial" w:cstheme="minorBidi"/>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98D0F6A"/>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48544D"/>
    <w:multiLevelType w:val="hybridMultilevel"/>
    <w:tmpl w:val="BC40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56F29"/>
    <w:multiLevelType w:val="multilevel"/>
    <w:tmpl w:val="EE46A6DC"/>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FD2268"/>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C5B7D22"/>
    <w:multiLevelType w:val="multilevel"/>
    <w:tmpl w:val="38F448D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7DE47026"/>
    <w:multiLevelType w:val="multilevel"/>
    <w:tmpl w:val="823CB364"/>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E950091"/>
    <w:multiLevelType w:val="multilevel"/>
    <w:tmpl w:val="BE86A34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2083941573">
    <w:abstractNumId w:val="0"/>
  </w:num>
  <w:num w:numId="2" w16cid:durableId="657806755">
    <w:abstractNumId w:val="8"/>
  </w:num>
  <w:num w:numId="3" w16cid:durableId="1318344483">
    <w:abstractNumId w:val="18"/>
  </w:num>
  <w:num w:numId="4" w16cid:durableId="945309214">
    <w:abstractNumId w:val="24"/>
  </w:num>
  <w:num w:numId="5" w16cid:durableId="1857841371">
    <w:abstractNumId w:val="26"/>
  </w:num>
  <w:num w:numId="6" w16cid:durableId="2144538905">
    <w:abstractNumId w:val="6"/>
  </w:num>
  <w:num w:numId="7" w16cid:durableId="2036150090">
    <w:abstractNumId w:val="23"/>
  </w:num>
  <w:num w:numId="8" w16cid:durableId="337081171">
    <w:abstractNumId w:val="7"/>
  </w:num>
  <w:num w:numId="9" w16cid:durableId="1808010496">
    <w:abstractNumId w:val="29"/>
  </w:num>
  <w:num w:numId="10" w16cid:durableId="1731539952">
    <w:abstractNumId w:val="11"/>
  </w:num>
  <w:num w:numId="11" w16cid:durableId="1891258927">
    <w:abstractNumId w:val="2"/>
  </w:num>
  <w:num w:numId="12" w16cid:durableId="651062876">
    <w:abstractNumId w:val="5"/>
  </w:num>
  <w:num w:numId="13" w16cid:durableId="1224179691">
    <w:abstractNumId w:val="17"/>
  </w:num>
  <w:num w:numId="14" w16cid:durableId="140274251">
    <w:abstractNumId w:val="19"/>
  </w:num>
  <w:num w:numId="15" w16cid:durableId="1438215603">
    <w:abstractNumId w:val="16"/>
  </w:num>
  <w:num w:numId="16" w16cid:durableId="1773354948">
    <w:abstractNumId w:val="1"/>
  </w:num>
  <w:num w:numId="17" w16cid:durableId="1150366445">
    <w:abstractNumId w:val="9"/>
  </w:num>
  <w:num w:numId="18" w16cid:durableId="587229856">
    <w:abstractNumId w:val="15"/>
  </w:num>
  <w:num w:numId="19" w16cid:durableId="1292400349">
    <w:abstractNumId w:val="20"/>
  </w:num>
  <w:num w:numId="20" w16cid:durableId="1447191550">
    <w:abstractNumId w:val="22"/>
  </w:num>
  <w:num w:numId="21" w16cid:durableId="1889608501">
    <w:abstractNumId w:val="28"/>
  </w:num>
  <w:num w:numId="22" w16cid:durableId="688725102">
    <w:abstractNumId w:val="25"/>
  </w:num>
  <w:num w:numId="23" w16cid:durableId="677387517">
    <w:abstractNumId w:val="31"/>
  </w:num>
  <w:num w:numId="24" w16cid:durableId="1682967489">
    <w:abstractNumId w:val="4"/>
  </w:num>
  <w:num w:numId="25" w16cid:durableId="1705934273">
    <w:abstractNumId w:val="10"/>
  </w:num>
  <w:num w:numId="26" w16cid:durableId="1820532270">
    <w:abstractNumId w:val="3"/>
  </w:num>
  <w:num w:numId="27" w16cid:durableId="553782448">
    <w:abstractNumId w:val="21"/>
  </w:num>
  <w:num w:numId="28" w16cid:durableId="1711609416">
    <w:abstractNumId w:val="33"/>
  </w:num>
  <w:num w:numId="29" w16cid:durableId="1174807515">
    <w:abstractNumId w:val="14"/>
  </w:num>
  <w:num w:numId="30" w16cid:durableId="1995722966">
    <w:abstractNumId w:val="12"/>
  </w:num>
  <w:num w:numId="31" w16cid:durableId="1030760016">
    <w:abstractNumId w:val="32"/>
  </w:num>
  <w:num w:numId="32" w16cid:durableId="248199905">
    <w:abstractNumId w:val="30"/>
  </w:num>
  <w:num w:numId="33" w16cid:durableId="1161893941">
    <w:abstractNumId w:val="27"/>
  </w:num>
  <w:num w:numId="34" w16cid:durableId="1162936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EA"/>
    <w:rsid w:val="000449BC"/>
    <w:rsid w:val="00047F87"/>
    <w:rsid w:val="00063D5D"/>
    <w:rsid w:val="0007058F"/>
    <w:rsid w:val="000714C6"/>
    <w:rsid w:val="000873F5"/>
    <w:rsid w:val="000B4523"/>
    <w:rsid w:val="000C6CDC"/>
    <w:rsid w:val="000D1C4B"/>
    <w:rsid w:val="000E3773"/>
    <w:rsid w:val="0011048B"/>
    <w:rsid w:val="00136DBD"/>
    <w:rsid w:val="00150911"/>
    <w:rsid w:val="00165254"/>
    <w:rsid w:val="00171EF2"/>
    <w:rsid w:val="00174EAD"/>
    <w:rsid w:val="00193872"/>
    <w:rsid w:val="00196F9F"/>
    <w:rsid w:val="001B7AE9"/>
    <w:rsid w:val="001C551F"/>
    <w:rsid w:val="001E564E"/>
    <w:rsid w:val="00220BBE"/>
    <w:rsid w:val="002243F5"/>
    <w:rsid w:val="00224584"/>
    <w:rsid w:val="0026730C"/>
    <w:rsid w:val="00270672"/>
    <w:rsid w:val="00273866"/>
    <w:rsid w:val="002B5226"/>
    <w:rsid w:val="002B6668"/>
    <w:rsid w:val="00320AC7"/>
    <w:rsid w:val="00326B0D"/>
    <w:rsid w:val="00327A75"/>
    <w:rsid w:val="00361A51"/>
    <w:rsid w:val="0037184D"/>
    <w:rsid w:val="003B555E"/>
    <w:rsid w:val="004439A3"/>
    <w:rsid w:val="00476F90"/>
    <w:rsid w:val="0049303C"/>
    <w:rsid w:val="004979E3"/>
    <w:rsid w:val="004C5894"/>
    <w:rsid w:val="004E09BC"/>
    <w:rsid w:val="005251A6"/>
    <w:rsid w:val="00557633"/>
    <w:rsid w:val="00584669"/>
    <w:rsid w:val="005C7373"/>
    <w:rsid w:val="00627E8F"/>
    <w:rsid w:val="00663F97"/>
    <w:rsid w:val="006663C8"/>
    <w:rsid w:val="00687E8E"/>
    <w:rsid w:val="00697EB4"/>
    <w:rsid w:val="006D7C56"/>
    <w:rsid w:val="006E622C"/>
    <w:rsid w:val="00701090"/>
    <w:rsid w:val="007019CB"/>
    <w:rsid w:val="00712864"/>
    <w:rsid w:val="00734E76"/>
    <w:rsid w:val="007524D7"/>
    <w:rsid w:val="00777FA6"/>
    <w:rsid w:val="00804EEA"/>
    <w:rsid w:val="00827C8A"/>
    <w:rsid w:val="00833526"/>
    <w:rsid w:val="008644D0"/>
    <w:rsid w:val="008650AE"/>
    <w:rsid w:val="00866625"/>
    <w:rsid w:val="00874988"/>
    <w:rsid w:val="0087585E"/>
    <w:rsid w:val="0087744A"/>
    <w:rsid w:val="00877CB9"/>
    <w:rsid w:val="008802D0"/>
    <w:rsid w:val="0089736D"/>
    <w:rsid w:val="008B49EB"/>
    <w:rsid w:val="008C436E"/>
    <w:rsid w:val="008D7F61"/>
    <w:rsid w:val="00913CE1"/>
    <w:rsid w:val="00916328"/>
    <w:rsid w:val="00967870"/>
    <w:rsid w:val="009712DB"/>
    <w:rsid w:val="00995C77"/>
    <w:rsid w:val="009C4762"/>
    <w:rsid w:val="009D296A"/>
    <w:rsid w:val="00A03836"/>
    <w:rsid w:val="00A25231"/>
    <w:rsid w:val="00A33EF5"/>
    <w:rsid w:val="00A354BC"/>
    <w:rsid w:val="00A46590"/>
    <w:rsid w:val="00A47361"/>
    <w:rsid w:val="00A54ABD"/>
    <w:rsid w:val="00A65CA1"/>
    <w:rsid w:val="00A74353"/>
    <w:rsid w:val="00AA3F28"/>
    <w:rsid w:val="00AE1B3A"/>
    <w:rsid w:val="00AF1206"/>
    <w:rsid w:val="00AF6104"/>
    <w:rsid w:val="00B13F91"/>
    <w:rsid w:val="00B32E0E"/>
    <w:rsid w:val="00B60CAE"/>
    <w:rsid w:val="00BA48DF"/>
    <w:rsid w:val="00BF0A24"/>
    <w:rsid w:val="00C03F6D"/>
    <w:rsid w:val="00C37728"/>
    <w:rsid w:val="00C422C3"/>
    <w:rsid w:val="00C4615C"/>
    <w:rsid w:val="00C56FFC"/>
    <w:rsid w:val="00C736DF"/>
    <w:rsid w:val="00C84CB8"/>
    <w:rsid w:val="00C955E4"/>
    <w:rsid w:val="00C97227"/>
    <w:rsid w:val="00CA0111"/>
    <w:rsid w:val="00CA2C62"/>
    <w:rsid w:val="00CA50CD"/>
    <w:rsid w:val="00CB5AB9"/>
    <w:rsid w:val="00CC7B58"/>
    <w:rsid w:val="00CD1D82"/>
    <w:rsid w:val="00D13879"/>
    <w:rsid w:val="00D13C41"/>
    <w:rsid w:val="00D334A9"/>
    <w:rsid w:val="00D51E9C"/>
    <w:rsid w:val="00D91E12"/>
    <w:rsid w:val="00DA4268"/>
    <w:rsid w:val="00DA5800"/>
    <w:rsid w:val="00DE3940"/>
    <w:rsid w:val="00DF1E31"/>
    <w:rsid w:val="00E92000"/>
    <w:rsid w:val="00E97491"/>
    <w:rsid w:val="00EA6B20"/>
    <w:rsid w:val="00EC0288"/>
    <w:rsid w:val="00EC25D3"/>
    <w:rsid w:val="00EC4A06"/>
    <w:rsid w:val="00F84360"/>
    <w:rsid w:val="00FB0A2D"/>
    <w:rsid w:val="00FC06AD"/>
    <w:rsid w:val="00FC2D85"/>
    <w:rsid w:val="00FE4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5BAB3"/>
  <w15:chartTrackingRefBased/>
  <w15:docId w15:val="{8D6F10E4-2B8D-494A-8B60-FFA59F46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36E"/>
    <w:rPr>
      <w:rFonts w:ascii="Arial" w:hAnsi="Arial"/>
    </w:rPr>
  </w:style>
  <w:style w:type="paragraph" w:styleId="Heading1">
    <w:name w:val="heading 1"/>
    <w:basedOn w:val="Normal"/>
    <w:next w:val="Normal"/>
    <w:link w:val="Heading1Char"/>
    <w:uiPriority w:val="9"/>
    <w:qFormat/>
    <w:rsid w:val="008C436E"/>
    <w:pPr>
      <w:keepNext/>
      <w:keepLines/>
      <w:spacing w:after="240"/>
      <w:outlineLvl w:val="0"/>
    </w:pPr>
    <w:rPr>
      <w:rFonts w:eastAsiaTheme="majorEastAsia" w:cstheme="majorBidi"/>
      <w:b/>
      <w:color w:val="000000" w:themeColor="text1"/>
      <w:sz w:val="40"/>
      <w:szCs w:val="40"/>
    </w:rPr>
  </w:style>
  <w:style w:type="paragraph" w:styleId="Heading2">
    <w:name w:val="heading 2"/>
    <w:basedOn w:val="Normal"/>
    <w:next w:val="Normal"/>
    <w:link w:val="Heading2Char"/>
    <w:uiPriority w:val="9"/>
    <w:unhideWhenUsed/>
    <w:qFormat/>
    <w:rsid w:val="00804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36E"/>
    <w:rPr>
      <w:rFonts w:ascii="Arial" w:eastAsiaTheme="majorEastAsia" w:hAnsi="Arial" w:cstheme="majorBidi"/>
      <w:b/>
      <w:color w:val="000000" w:themeColor="text1"/>
      <w:sz w:val="40"/>
      <w:szCs w:val="40"/>
    </w:rPr>
  </w:style>
  <w:style w:type="character" w:customStyle="1" w:styleId="Heading2Char">
    <w:name w:val="Heading 2 Char"/>
    <w:basedOn w:val="DefaultParagraphFont"/>
    <w:link w:val="Heading2"/>
    <w:uiPriority w:val="9"/>
    <w:rsid w:val="00804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EEA"/>
    <w:rPr>
      <w:rFonts w:eastAsiaTheme="majorEastAsia" w:cstheme="majorBidi"/>
      <w:color w:val="272727" w:themeColor="text1" w:themeTint="D8"/>
    </w:rPr>
  </w:style>
  <w:style w:type="paragraph" w:styleId="Title">
    <w:name w:val="Title"/>
    <w:basedOn w:val="Normal"/>
    <w:next w:val="Normal"/>
    <w:link w:val="TitleChar"/>
    <w:uiPriority w:val="10"/>
    <w:qFormat/>
    <w:rsid w:val="00804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EEA"/>
    <w:pPr>
      <w:spacing w:before="160"/>
      <w:jc w:val="center"/>
    </w:pPr>
    <w:rPr>
      <w:i/>
      <w:iCs/>
      <w:color w:val="404040" w:themeColor="text1" w:themeTint="BF"/>
    </w:rPr>
  </w:style>
  <w:style w:type="character" w:customStyle="1" w:styleId="QuoteChar">
    <w:name w:val="Quote Char"/>
    <w:basedOn w:val="DefaultParagraphFont"/>
    <w:link w:val="Quote"/>
    <w:uiPriority w:val="29"/>
    <w:rsid w:val="00804EEA"/>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Bullet Point,normal,Body,lp1"/>
    <w:basedOn w:val="Normal"/>
    <w:link w:val="ListParagraphChar"/>
    <w:uiPriority w:val="34"/>
    <w:qFormat/>
    <w:rsid w:val="00804EEA"/>
    <w:pPr>
      <w:ind w:left="720"/>
      <w:contextualSpacing/>
    </w:pPr>
  </w:style>
  <w:style w:type="character" w:styleId="IntenseEmphasis">
    <w:name w:val="Intense Emphasis"/>
    <w:basedOn w:val="DefaultParagraphFont"/>
    <w:uiPriority w:val="21"/>
    <w:qFormat/>
    <w:rsid w:val="00804EEA"/>
    <w:rPr>
      <w:i/>
      <w:iCs/>
      <w:color w:val="0F4761" w:themeColor="accent1" w:themeShade="BF"/>
    </w:rPr>
  </w:style>
  <w:style w:type="paragraph" w:styleId="IntenseQuote">
    <w:name w:val="Intense Quote"/>
    <w:basedOn w:val="Normal"/>
    <w:next w:val="Normal"/>
    <w:link w:val="IntenseQuoteChar"/>
    <w:uiPriority w:val="30"/>
    <w:qFormat/>
    <w:rsid w:val="00804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EEA"/>
    <w:rPr>
      <w:i/>
      <w:iCs/>
      <w:color w:val="0F4761" w:themeColor="accent1" w:themeShade="BF"/>
    </w:rPr>
  </w:style>
  <w:style w:type="character" w:styleId="IntenseReference">
    <w:name w:val="Intense Reference"/>
    <w:basedOn w:val="DefaultParagraphFont"/>
    <w:uiPriority w:val="32"/>
    <w:qFormat/>
    <w:rsid w:val="00804EEA"/>
    <w:rPr>
      <w:b/>
      <w:bCs/>
      <w:smallCaps/>
      <w:color w:val="0F4761" w:themeColor="accent1" w:themeShade="BF"/>
      <w:spacing w:val="5"/>
    </w:rPr>
  </w:style>
  <w:style w:type="table" w:styleId="TableGrid">
    <w:name w:val="Table Grid"/>
    <w:basedOn w:val="TableNormal"/>
    <w:uiPriority w:val="39"/>
    <w:rsid w:val="00804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590"/>
  </w:style>
  <w:style w:type="paragraph" w:styleId="Footer">
    <w:name w:val="footer"/>
    <w:basedOn w:val="Normal"/>
    <w:link w:val="FooterChar"/>
    <w:uiPriority w:val="99"/>
    <w:unhideWhenUsed/>
    <w:rsid w:val="00A46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590"/>
  </w:style>
  <w:style w:type="character" w:styleId="Hyperlink">
    <w:name w:val="Hyperlink"/>
    <w:basedOn w:val="DefaultParagraphFont"/>
    <w:uiPriority w:val="99"/>
    <w:unhideWhenUsed/>
    <w:rsid w:val="00C97227"/>
    <w:rPr>
      <w:color w:val="467886" w:themeColor="hyperlink"/>
      <w:u w:val="single"/>
    </w:rPr>
  </w:style>
  <w:style w:type="character" w:styleId="UnresolvedMention">
    <w:name w:val="Unresolved Mention"/>
    <w:basedOn w:val="DefaultParagraphFont"/>
    <w:uiPriority w:val="99"/>
    <w:semiHidden/>
    <w:unhideWhenUsed/>
    <w:rsid w:val="00C97227"/>
    <w:rPr>
      <w:color w:val="605E5C"/>
      <w:shd w:val="clear" w:color="auto" w:fill="E1DFDD"/>
    </w:rPr>
  </w:style>
  <w:style w:type="character" w:styleId="CommentReference">
    <w:name w:val="annotation reference"/>
    <w:basedOn w:val="DefaultParagraphFont"/>
    <w:uiPriority w:val="99"/>
    <w:semiHidden/>
    <w:unhideWhenUsed/>
    <w:rsid w:val="00171EF2"/>
    <w:rPr>
      <w:sz w:val="16"/>
      <w:szCs w:val="16"/>
    </w:rPr>
  </w:style>
  <w:style w:type="paragraph" w:styleId="CommentText">
    <w:name w:val="annotation text"/>
    <w:basedOn w:val="Normal"/>
    <w:link w:val="CommentTextChar"/>
    <w:uiPriority w:val="99"/>
    <w:unhideWhenUsed/>
    <w:rsid w:val="00171EF2"/>
    <w:pPr>
      <w:spacing w:line="240" w:lineRule="auto"/>
    </w:pPr>
    <w:rPr>
      <w:sz w:val="20"/>
      <w:szCs w:val="20"/>
    </w:rPr>
  </w:style>
  <w:style w:type="character" w:customStyle="1" w:styleId="CommentTextChar">
    <w:name w:val="Comment Text Char"/>
    <w:basedOn w:val="DefaultParagraphFont"/>
    <w:link w:val="CommentText"/>
    <w:uiPriority w:val="99"/>
    <w:rsid w:val="00171E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71EF2"/>
    <w:rPr>
      <w:b/>
      <w:bCs/>
    </w:rPr>
  </w:style>
  <w:style w:type="character" w:customStyle="1" w:styleId="CommentSubjectChar">
    <w:name w:val="Comment Subject Char"/>
    <w:basedOn w:val="CommentTextChar"/>
    <w:link w:val="CommentSubject"/>
    <w:uiPriority w:val="99"/>
    <w:semiHidden/>
    <w:rsid w:val="00171EF2"/>
    <w:rPr>
      <w:rFonts w:ascii="Arial" w:hAnsi="Arial"/>
      <w:b/>
      <w:bCs/>
      <w:sz w:val="20"/>
      <w:szCs w:val="20"/>
    </w:rPr>
  </w:style>
  <w:style w:type="paragraph" w:styleId="Revision">
    <w:name w:val="Revision"/>
    <w:hidden/>
    <w:uiPriority w:val="99"/>
    <w:semiHidden/>
    <w:rsid w:val="00C736DF"/>
    <w:pPr>
      <w:spacing w:after="0" w:line="240" w:lineRule="auto"/>
    </w:pPr>
    <w:rPr>
      <w:rFonts w:ascii="Arial" w:hAnsi="Arial"/>
    </w:rPr>
  </w:style>
  <w:style w:type="paragraph" w:styleId="NormalWeb">
    <w:name w:val="Normal (Web)"/>
    <w:basedOn w:val="Normal"/>
    <w:uiPriority w:val="99"/>
    <w:unhideWhenUsed/>
    <w:rsid w:val="00EC25D3"/>
    <w:rPr>
      <w:rFonts w:ascii="Times New Roman" w:hAnsi="Times New Roman" w:cs="Times New Roman"/>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8D7F61"/>
    <w:rPr>
      <w:rFonts w:ascii="Arial" w:hAnsi="Arial"/>
    </w:rPr>
  </w:style>
  <w:style w:type="character" w:styleId="Strong">
    <w:name w:val="Strong"/>
    <w:basedOn w:val="DefaultParagraphFont"/>
    <w:uiPriority w:val="22"/>
    <w:qFormat/>
    <w:rsid w:val="008D7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82848">
      <w:bodyDiv w:val="1"/>
      <w:marLeft w:val="0"/>
      <w:marRight w:val="0"/>
      <w:marTop w:val="0"/>
      <w:marBottom w:val="0"/>
      <w:divBdr>
        <w:top w:val="none" w:sz="0" w:space="0" w:color="auto"/>
        <w:left w:val="none" w:sz="0" w:space="0" w:color="auto"/>
        <w:bottom w:val="none" w:sz="0" w:space="0" w:color="auto"/>
        <w:right w:val="none" w:sz="0" w:space="0" w:color="auto"/>
      </w:divBdr>
      <w:divsChild>
        <w:div w:id="1473865229">
          <w:marLeft w:val="0"/>
          <w:marRight w:val="0"/>
          <w:marTop w:val="0"/>
          <w:marBottom w:val="0"/>
          <w:divBdr>
            <w:top w:val="none" w:sz="0" w:space="0" w:color="auto"/>
            <w:left w:val="none" w:sz="0" w:space="0" w:color="auto"/>
            <w:bottom w:val="none" w:sz="0" w:space="0" w:color="auto"/>
            <w:right w:val="none" w:sz="0" w:space="0" w:color="auto"/>
          </w:divBdr>
        </w:div>
      </w:divsChild>
    </w:div>
    <w:div w:id="631519956">
      <w:bodyDiv w:val="1"/>
      <w:marLeft w:val="0"/>
      <w:marRight w:val="0"/>
      <w:marTop w:val="0"/>
      <w:marBottom w:val="0"/>
      <w:divBdr>
        <w:top w:val="none" w:sz="0" w:space="0" w:color="auto"/>
        <w:left w:val="none" w:sz="0" w:space="0" w:color="auto"/>
        <w:bottom w:val="none" w:sz="0" w:space="0" w:color="auto"/>
        <w:right w:val="none" w:sz="0" w:space="0" w:color="auto"/>
      </w:divBdr>
    </w:div>
    <w:div w:id="864094442">
      <w:bodyDiv w:val="1"/>
      <w:marLeft w:val="0"/>
      <w:marRight w:val="0"/>
      <w:marTop w:val="0"/>
      <w:marBottom w:val="0"/>
      <w:divBdr>
        <w:top w:val="none" w:sz="0" w:space="0" w:color="auto"/>
        <w:left w:val="none" w:sz="0" w:space="0" w:color="auto"/>
        <w:bottom w:val="none" w:sz="0" w:space="0" w:color="auto"/>
        <w:right w:val="none" w:sz="0" w:space="0" w:color="auto"/>
      </w:divBdr>
      <w:divsChild>
        <w:div w:id="1353412851">
          <w:marLeft w:val="0"/>
          <w:marRight w:val="0"/>
          <w:marTop w:val="0"/>
          <w:marBottom w:val="0"/>
          <w:divBdr>
            <w:top w:val="none" w:sz="0" w:space="0" w:color="auto"/>
            <w:left w:val="none" w:sz="0" w:space="0" w:color="auto"/>
            <w:bottom w:val="none" w:sz="0" w:space="0" w:color="auto"/>
            <w:right w:val="none" w:sz="0" w:space="0" w:color="auto"/>
          </w:divBdr>
        </w:div>
      </w:divsChild>
    </w:div>
    <w:div w:id="999695099">
      <w:bodyDiv w:val="1"/>
      <w:marLeft w:val="0"/>
      <w:marRight w:val="0"/>
      <w:marTop w:val="0"/>
      <w:marBottom w:val="0"/>
      <w:divBdr>
        <w:top w:val="none" w:sz="0" w:space="0" w:color="auto"/>
        <w:left w:val="none" w:sz="0" w:space="0" w:color="auto"/>
        <w:bottom w:val="none" w:sz="0" w:space="0" w:color="auto"/>
        <w:right w:val="none" w:sz="0" w:space="0" w:color="auto"/>
      </w:divBdr>
    </w:div>
    <w:div w:id="1062674756">
      <w:bodyDiv w:val="1"/>
      <w:marLeft w:val="0"/>
      <w:marRight w:val="0"/>
      <w:marTop w:val="0"/>
      <w:marBottom w:val="0"/>
      <w:divBdr>
        <w:top w:val="none" w:sz="0" w:space="0" w:color="auto"/>
        <w:left w:val="none" w:sz="0" w:space="0" w:color="auto"/>
        <w:bottom w:val="none" w:sz="0" w:space="0" w:color="auto"/>
        <w:right w:val="none" w:sz="0" w:space="0" w:color="auto"/>
      </w:divBdr>
    </w:div>
    <w:div w:id="1081680489">
      <w:bodyDiv w:val="1"/>
      <w:marLeft w:val="0"/>
      <w:marRight w:val="0"/>
      <w:marTop w:val="0"/>
      <w:marBottom w:val="0"/>
      <w:divBdr>
        <w:top w:val="none" w:sz="0" w:space="0" w:color="auto"/>
        <w:left w:val="none" w:sz="0" w:space="0" w:color="auto"/>
        <w:bottom w:val="none" w:sz="0" w:space="0" w:color="auto"/>
        <w:right w:val="none" w:sz="0" w:space="0" w:color="auto"/>
      </w:divBdr>
      <w:divsChild>
        <w:div w:id="1908539584">
          <w:marLeft w:val="0"/>
          <w:marRight w:val="0"/>
          <w:marTop w:val="0"/>
          <w:marBottom w:val="0"/>
          <w:divBdr>
            <w:top w:val="none" w:sz="0" w:space="0" w:color="auto"/>
            <w:left w:val="none" w:sz="0" w:space="0" w:color="auto"/>
            <w:bottom w:val="none" w:sz="0" w:space="0" w:color="auto"/>
            <w:right w:val="none" w:sz="0" w:space="0" w:color="auto"/>
          </w:divBdr>
        </w:div>
      </w:divsChild>
    </w:div>
    <w:div w:id="1291549770">
      <w:bodyDiv w:val="1"/>
      <w:marLeft w:val="0"/>
      <w:marRight w:val="0"/>
      <w:marTop w:val="0"/>
      <w:marBottom w:val="0"/>
      <w:divBdr>
        <w:top w:val="none" w:sz="0" w:space="0" w:color="auto"/>
        <w:left w:val="none" w:sz="0" w:space="0" w:color="auto"/>
        <w:bottom w:val="none" w:sz="0" w:space="0" w:color="auto"/>
        <w:right w:val="none" w:sz="0" w:space="0" w:color="auto"/>
      </w:divBdr>
    </w:div>
    <w:div w:id="1380546297">
      <w:bodyDiv w:val="1"/>
      <w:marLeft w:val="0"/>
      <w:marRight w:val="0"/>
      <w:marTop w:val="0"/>
      <w:marBottom w:val="0"/>
      <w:divBdr>
        <w:top w:val="none" w:sz="0" w:space="0" w:color="auto"/>
        <w:left w:val="none" w:sz="0" w:space="0" w:color="auto"/>
        <w:bottom w:val="none" w:sz="0" w:space="0" w:color="auto"/>
        <w:right w:val="none" w:sz="0" w:space="0" w:color="auto"/>
      </w:divBdr>
      <w:divsChild>
        <w:div w:id="1029911337">
          <w:marLeft w:val="0"/>
          <w:marRight w:val="0"/>
          <w:marTop w:val="0"/>
          <w:marBottom w:val="0"/>
          <w:divBdr>
            <w:top w:val="none" w:sz="0" w:space="0" w:color="auto"/>
            <w:left w:val="none" w:sz="0" w:space="0" w:color="auto"/>
            <w:bottom w:val="none" w:sz="0" w:space="0" w:color="auto"/>
            <w:right w:val="none" w:sz="0" w:space="0" w:color="auto"/>
          </w:divBdr>
        </w:div>
      </w:divsChild>
    </w:div>
    <w:div w:id="1496190829">
      <w:bodyDiv w:val="1"/>
      <w:marLeft w:val="0"/>
      <w:marRight w:val="0"/>
      <w:marTop w:val="0"/>
      <w:marBottom w:val="0"/>
      <w:divBdr>
        <w:top w:val="none" w:sz="0" w:space="0" w:color="auto"/>
        <w:left w:val="none" w:sz="0" w:space="0" w:color="auto"/>
        <w:bottom w:val="none" w:sz="0" w:space="0" w:color="auto"/>
        <w:right w:val="none" w:sz="0" w:space="0" w:color="auto"/>
      </w:divBdr>
      <w:divsChild>
        <w:div w:id="755444161">
          <w:marLeft w:val="0"/>
          <w:marRight w:val="0"/>
          <w:marTop w:val="0"/>
          <w:marBottom w:val="0"/>
          <w:divBdr>
            <w:top w:val="none" w:sz="0" w:space="0" w:color="auto"/>
            <w:left w:val="none" w:sz="0" w:space="0" w:color="auto"/>
            <w:bottom w:val="none" w:sz="0" w:space="0" w:color="auto"/>
            <w:right w:val="none" w:sz="0" w:space="0" w:color="auto"/>
          </w:divBdr>
        </w:div>
      </w:divsChild>
    </w:div>
    <w:div w:id="1755128252">
      <w:bodyDiv w:val="1"/>
      <w:marLeft w:val="0"/>
      <w:marRight w:val="0"/>
      <w:marTop w:val="0"/>
      <w:marBottom w:val="0"/>
      <w:divBdr>
        <w:top w:val="none" w:sz="0" w:space="0" w:color="auto"/>
        <w:left w:val="none" w:sz="0" w:space="0" w:color="auto"/>
        <w:bottom w:val="none" w:sz="0" w:space="0" w:color="auto"/>
        <w:right w:val="none" w:sz="0" w:space="0" w:color="auto"/>
      </w:divBdr>
      <w:divsChild>
        <w:div w:id="1748919923">
          <w:marLeft w:val="0"/>
          <w:marRight w:val="0"/>
          <w:marTop w:val="0"/>
          <w:marBottom w:val="0"/>
          <w:divBdr>
            <w:top w:val="none" w:sz="0" w:space="0" w:color="auto"/>
            <w:left w:val="none" w:sz="0" w:space="0" w:color="auto"/>
            <w:bottom w:val="none" w:sz="0" w:space="0" w:color="auto"/>
            <w:right w:val="none" w:sz="0" w:space="0" w:color="auto"/>
          </w:divBdr>
        </w:div>
      </w:divsChild>
    </w:div>
    <w:div w:id="1905988490">
      <w:bodyDiv w:val="1"/>
      <w:marLeft w:val="0"/>
      <w:marRight w:val="0"/>
      <w:marTop w:val="0"/>
      <w:marBottom w:val="0"/>
      <w:divBdr>
        <w:top w:val="none" w:sz="0" w:space="0" w:color="auto"/>
        <w:left w:val="none" w:sz="0" w:space="0" w:color="auto"/>
        <w:bottom w:val="none" w:sz="0" w:space="0" w:color="auto"/>
        <w:right w:val="none" w:sz="0" w:space="0" w:color="auto"/>
      </w:divBdr>
      <w:divsChild>
        <w:div w:id="470444282">
          <w:marLeft w:val="0"/>
          <w:marRight w:val="0"/>
          <w:marTop w:val="0"/>
          <w:marBottom w:val="0"/>
          <w:divBdr>
            <w:top w:val="none" w:sz="0" w:space="0" w:color="auto"/>
            <w:left w:val="none" w:sz="0" w:space="0" w:color="auto"/>
            <w:bottom w:val="none" w:sz="0" w:space="0" w:color="auto"/>
            <w:right w:val="none" w:sz="0" w:space="0" w:color="auto"/>
          </w:divBdr>
        </w:div>
      </w:divsChild>
    </w:div>
    <w:div w:id="2041777191">
      <w:bodyDiv w:val="1"/>
      <w:marLeft w:val="0"/>
      <w:marRight w:val="0"/>
      <w:marTop w:val="0"/>
      <w:marBottom w:val="0"/>
      <w:divBdr>
        <w:top w:val="none" w:sz="0" w:space="0" w:color="auto"/>
        <w:left w:val="none" w:sz="0" w:space="0" w:color="auto"/>
        <w:bottom w:val="none" w:sz="0" w:space="0" w:color="auto"/>
        <w:right w:val="none" w:sz="0" w:space="0" w:color="auto"/>
      </w:divBdr>
      <w:divsChild>
        <w:div w:id="1085416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oleObject" Target="file:///\\glos.nhs.uk\ghnhst\Equality,%20Diversity%20and%20Inclusion%20Team\Reports\Gender%20Pay%20Gap\GPG%202026\Data\NHS%20Gender%20Pay%20Gap%20Ordinary%20Pay%20by%20Person%203103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los.nhs.uk\ghnhst\Equality,%20Diversity%20and%20Inclusion%20Team\Reports\Gender%20Pay%20Gap\GPG%202026\Data\NHS%20Gender%20Pay%20Gap%20Ordinary%20Pay%20by%20Person%2026%20Medical%20Staff%203103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21877504832849"/>
          <c:y val="3.9399272951843575E-2"/>
          <c:w val="0.73068854417149953"/>
          <c:h val="0.81252880823052198"/>
        </c:manualLayout>
      </c:layout>
      <c:barChart>
        <c:barDir val="bar"/>
        <c:grouping val="clustered"/>
        <c:varyColors val="0"/>
        <c:ser>
          <c:idx val="1"/>
          <c:order val="0"/>
          <c:tx>
            <c:strRef>
              <c:f>Sheet1!$I$3</c:f>
              <c:strCache>
                <c:ptCount val="1"/>
                <c:pt idx="0">
                  <c:v>Male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Sheet1!$I$4:$I$7</c:f>
              <c:numCache>
                <c:formatCode>0.00</c:formatCode>
                <c:ptCount val="4"/>
                <c:pt idx="0">
                  <c:v>17.1760654326302</c:v>
                </c:pt>
                <c:pt idx="1">
                  <c:v>17.497886728655999</c:v>
                </c:pt>
                <c:pt idx="2">
                  <c:v>15.7575757575758</c:v>
                </c:pt>
                <c:pt idx="3">
                  <c:v>36.928241712127601</c:v>
                </c:pt>
              </c:numCache>
            </c:numRef>
          </c:val>
          <c:extLst>
            <c:ext xmlns:c16="http://schemas.microsoft.com/office/drawing/2014/chart" uri="{C3380CC4-5D6E-409C-BE32-E72D297353CC}">
              <c16:uniqueId val="{00000000-F14C-4902-86E4-63659078A418}"/>
            </c:ext>
          </c:extLst>
        </c:ser>
        <c:ser>
          <c:idx val="0"/>
          <c:order val="1"/>
          <c:tx>
            <c:strRef>
              <c:f>Sheet1!$H$3</c:f>
              <c:strCache>
                <c:ptCount val="1"/>
                <c:pt idx="0">
                  <c:v>Female %</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Sheet1!$H$4:$H$7</c:f>
              <c:numCache>
                <c:formatCode>0.00</c:formatCode>
                <c:ptCount val="4"/>
                <c:pt idx="0">
                  <c:v>82.823934567369804</c:v>
                </c:pt>
                <c:pt idx="1">
                  <c:v>82.502113271344001</c:v>
                </c:pt>
                <c:pt idx="2">
                  <c:v>84.242424242424207</c:v>
                </c:pt>
                <c:pt idx="3">
                  <c:v>63.071758287872399</c:v>
                </c:pt>
              </c:numCache>
            </c:numRef>
          </c:val>
          <c:extLst>
            <c:ext xmlns:c16="http://schemas.microsoft.com/office/drawing/2014/chart" uri="{C3380CC4-5D6E-409C-BE32-E72D297353CC}">
              <c16:uniqueId val="{00000001-F14C-4902-86E4-63659078A418}"/>
            </c:ext>
          </c:extLst>
        </c:ser>
        <c:dLbls>
          <c:dLblPos val="outEnd"/>
          <c:showLegendKey val="0"/>
          <c:showVal val="1"/>
          <c:showCatName val="0"/>
          <c:showSerName val="0"/>
          <c:showPercent val="0"/>
          <c:showBubbleSize val="0"/>
        </c:dLbls>
        <c:gapWidth val="182"/>
        <c:axId val="1139458943"/>
        <c:axId val="1139466143"/>
      </c:barChart>
      <c:catAx>
        <c:axId val="11394589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466143"/>
        <c:crosses val="autoZero"/>
        <c:auto val="1"/>
        <c:lblAlgn val="ctr"/>
        <c:lblOffset val="100"/>
        <c:noMultiLvlLbl val="0"/>
      </c:catAx>
      <c:valAx>
        <c:axId val="1139466143"/>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139458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16372953380829"/>
          <c:y val="3.3670703442771406E-2"/>
          <c:w val="0.76163104611923504"/>
          <c:h val="0.77958649905603905"/>
        </c:manualLayout>
      </c:layout>
      <c:barChart>
        <c:barDir val="bar"/>
        <c:grouping val="clustered"/>
        <c:varyColors val="0"/>
        <c:ser>
          <c:idx val="1"/>
          <c:order val="0"/>
          <c:tx>
            <c:strRef>
              <c:f>Sheet1!$I$3</c:f>
              <c:strCache>
                <c:ptCount val="1"/>
                <c:pt idx="0">
                  <c:v>Male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Sheet1!$I$4:$I$7</c:f>
              <c:numCache>
                <c:formatCode>0.00</c:formatCode>
                <c:ptCount val="4"/>
                <c:pt idx="0">
                  <c:v>16.277678037103499</c:v>
                </c:pt>
                <c:pt idx="1">
                  <c:v>17.872117400419299</c:v>
                </c:pt>
                <c:pt idx="2">
                  <c:v>14.095127610208801</c:v>
                </c:pt>
                <c:pt idx="3">
                  <c:v>17.428725121032802</c:v>
                </c:pt>
              </c:numCache>
            </c:numRef>
          </c:val>
          <c:extLst>
            <c:ext xmlns:c16="http://schemas.microsoft.com/office/drawing/2014/chart" uri="{C3380CC4-5D6E-409C-BE32-E72D297353CC}">
              <c16:uniqueId val="{00000000-4A86-4303-A5DE-A9A9BF81E13B}"/>
            </c:ext>
          </c:extLst>
        </c:ser>
        <c:ser>
          <c:idx val="0"/>
          <c:order val="1"/>
          <c:tx>
            <c:strRef>
              <c:f>Sheet1!$H$3</c:f>
              <c:strCache>
                <c:ptCount val="1"/>
                <c:pt idx="0">
                  <c:v>Female %</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Sheet1!$H$4:$H$7</c:f>
              <c:numCache>
                <c:formatCode>0.00</c:formatCode>
                <c:ptCount val="4"/>
                <c:pt idx="0">
                  <c:v>83.722321962896501</c:v>
                </c:pt>
                <c:pt idx="1">
                  <c:v>82.127882599580701</c:v>
                </c:pt>
                <c:pt idx="2">
                  <c:v>85.904872389791194</c:v>
                </c:pt>
                <c:pt idx="3">
                  <c:v>82.571274878967202</c:v>
                </c:pt>
              </c:numCache>
            </c:numRef>
          </c:val>
          <c:extLst>
            <c:ext xmlns:c16="http://schemas.microsoft.com/office/drawing/2014/chart" uri="{C3380CC4-5D6E-409C-BE32-E72D297353CC}">
              <c16:uniqueId val="{00000001-4A86-4303-A5DE-A9A9BF81E13B}"/>
            </c:ext>
          </c:extLst>
        </c:ser>
        <c:dLbls>
          <c:dLblPos val="outEnd"/>
          <c:showLegendKey val="0"/>
          <c:showVal val="1"/>
          <c:showCatName val="0"/>
          <c:showSerName val="0"/>
          <c:showPercent val="0"/>
          <c:showBubbleSize val="0"/>
        </c:dLbls>
        <c:gapWidth val="182"/>
        <c:axId val="856140415"/>
        <c:axId val="856135135"/>
      </c:barChart>
      <c:catAx>
        <c:axId val="8561404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135135"/>
        <c:crosses val="autoZero"/>
        <c:auto val="1"/>
        <c:lblAlgn val="ctr"/>
        <c:lblOffset val="100"/>
        <c:noMultiLvlLbl val="0"/>
      </c:catAx>
      <c:valAx>
        <c:axId val="856135135"/>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56140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87506561679789"/>
          <c:y val="8.0145719489981782E-2"/>
          <c:w val="0.74039653932147376"/>
          <c:h val="0.67304103380520053"/>
        </c:manualLayout>
      </c:layout>
      <c:barChart>
        <c:barDir val="bar"/>
        <c:grouping val="clustered"/>
        <c:varyColors val="0"/>
        <c:ser>
          <c:idx val="1"/>
          <c:order val="0"/>
          <c:tx>
            <c:strRef>
              <c:f>Sheet1!$I$3</c:f>
              <c:strCache>
                <c:ptCount val="1"/>
                <c:pt idx="0">
                  <c:v>Male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Sheet1!$I$4:$I$7</c:f>
              <c:numCache>
                <c:formatCode>0.00</c:formatCode>
                <c:ptCount val="4"/>
                <c:pt idx="0">
                  <c:v>37.122969837587</c:v>
                </c:pt>
                <c:pt idx="1">
                  <c:v>39.480519480519497</c:v>
                </c:pt>
                <c:pt idx="2">
                  <c:v>43.006263048016699</c:v>
                </c:pt>
                <c:pt idx="3">
                  <c:v>60.879629629629598</c:v>
                </c:pt>
              </c:numCache>
            </c:numRef>
          </c:val>
          <c:extLst>
            <c:ext xmlns:c16="http://schemas.microsoft.com/office/drawing/2014/chart" uri="{C3380CC4-5D6E-409C-BE32-E72D297353CC}">
              <c16:uniqueId val="{00000000-0D28-480D-B06E-0426AB62DF63}"/>
            </c:ext>
          </c:extLst>
        </c:ser>
        <c:ser>
          <c:idx val="0"/>
          <c:order val="1"/>
          <c:tx>
            <c:strRef>
              <c:f>Sheet1!$H$3</c:f>
              <c:strCache>
                <c:ptCount val="1"/>
                <c:pt idx="0">
                  <c:v>Female %</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Sheet1!$H$4:$H$7</c:f>
              <c:numCache>
                <c:formatCode>0.00</c:formatCode>
                <c:ptCount val="4"/>
                <c:pt idx="0">
                  <c:v>62.877030162413</c:v>
                </c:pt>
                <c:pt idx="1">
                  <c:v>60.519480519480503</c:v>
                </c:pt>
                <c:pt idx="2">
                  <c:v>56.993736951983301</c:v>
                </c:pt>
                <c:pt idx="3">
                  <c:v>39.120370370370402</c:v>
                </c:pt>
              </c:numCache>
            </c:numRef>
          </c:val>
          <c:extLst>
            <c:ext xmlns:c16="http://schemas.microsoft.com/office/drawing/2014/chart" uri="{C3380CC4-5D6E-409C-BE32-E72D297353CC}">
              <c16:uniqueId val="{00000001-0D28-480D-B06E-0426AB62DF63}"/>
            </c:ext>
          </c:extLst>
        </c:ser>
        <c:dLbls>
          <c:dLblPos val="outEnd"/>
          <c:showLegendKey val="0"/>
          <c:showVal val="1"/>
          <c:showCatName val="0"/>
          <c:showSerName val="0"/>
          <c:showPercent val="0"/>
          <c:showBubbleSize val="0"/>
        </c:dLbls>
        <c:gapWidth val="182"/>
        <c:axId val="1769483952"/>
        <c:axId val="1769478672"/>
      </c:barChart>
      <c:catAx>
        <c:axId val="1769483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9478672"/>
        <c:crosses val="autoZero"/>
        <c:auto val="1"/>
        <c:lblAlgn val="ctr"/>
        <c:lblOffset val="100"/>
        <c:noMultiLvlLbl val="0"/>
      </c:catAx>
      <c:valAx>
        <c:axId val="176947867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76948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2ED8A-4D95-40D3-8688-228FC3A1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3758</Words>
  <Characters>21424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FAVELL, Sarah (GLOUCESTERSHIRE HOSPITALS NHS FOUNDATION TRUST)</dc:creator>
  <cp:keywords/>
  <dc:description/>
  <cp:lastModifiedBy>BOSTON, Coral (GLOUCESTERSHIRE HOSPITALS NHS FOUNDATION TRUST)</cp:lastModifiedBy>
  <cp:revision>16</cp:revision>
  <dcterms:created xsi:type="dcterms:W3CDTF">2026-02-17T10:51:00Z</dcterms:created>
  <dcterms:modified xsi:type="dcterms:W3CDTF">2026-03-18T14:26:00Z</dcterms:modified>
</cp:coreProperties>
</file>