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27D20" w14:textId="77777777" w:rsidR="008B2C57" w:rsidRPr="00452CE4" w:rsidRDefault="008B2C57">
      <w:pPr>
        <w:rPr>
          <w:lang w:val="en-GB"/>
        </w:rPr>
      </w:pPr>
    </w:p>
    <w:p w14:paraId="79D7182A" w14:textId="77777777" w:rsidR="00CB1BB3" w:rsidRPr="00452CE4" w:rsidRDefault="00CB1BB3">
      <w:pPr>
        <w:rPr>
          <w:lang w:val="en-GB"/>
        </w:rPr>
      </w:pPr>
    </w:p>
    <w:p w14:paraId="4BC6FC31" w14:textId="77777777" w:rsidR="00CB1BB3" w:rsidRPr="00452CE4" w:rsidRDefault="00CB1BB3">
      <w:pPr>
        <w:rPr>
          <w:rFonts w:ascii="Arial" w:hAnsi="Arial" w:cs="Arial"/>
          <w:b/>
          <w:sz w:val="36"/>
          <w:szCs w:val="36"/>
          <w:lang w:val="en-GB"/>
        </w:rPr>
      </w:pPr>
    </w:p>
    <w:p w14:paraId="2BC5C43C" w14:textId="77777777" w:rsidR="00CB1BB3" w:rsidRPr="00452CE4" w:rsidRDefault="00CB1BB3">
      <w:pPr>
        <w:rPr>
          <w:rFonts w:ascii="Arial" w:hAnsi="Arial" w:cs="Arial"/>
          <w:b/>
          <w:sz w:val="36"/>
          <w:szCs w:val="36"/>
          <w:lang w:val="en-GB"/>
        </w:rPr>
      </w:pPr>
    </w:p>
    <w:p w14:paraId="5D0602DE" w14:textId="77777777" w:rsidR="00CB1BB3" w:rsidRPr="00452CE4" w:rsidRDefault="00FB30FA" w:rsidP="00CB1BB3">
      <w:pPr>
        <w:jc w:val="center"/>
        <w:rPr>
          <w:rFonts w:ascii="Arial" w:hAnsi="Arial" w:cs="Arial"/>
          <w:b/>
          <w:sz w:val="40"/>
          <w:szCs w:val="40"/>
          <w:lang w:val="en-GB"/>
        </w:rPr>
      </w:pPr>
      <w:r w:rsidRPr="00452CE4">
        <w:rPr>
          <w:rFonts w:ascii="Arial" w:hAnsi="Arial" w:cs="Arial"/>
          <w:b/>
          <w:sz w:val="40"/>
          <w:szCs w:val="40"/>
          <w:lang w:val="en-GB"/>
        </w:rPr>
        <w:t>Annual Complaints</w:t>
      </w:r>
      <w:r w:rsidR="00CB1BB3" w:rsidRPr="00452CE4">
        <w:rPr>
          <w:rFonts w:ascii="Arial" w:hAnsi="Arial" w:cs="Arial"/>
          <w:b/>
          <w:sz w:val="40"/>
          <w:szCs w:val="40"/>
          <w:lang w:val="en-GB"/>
        </w:rPr>
        <w:t xml:space="preserve"> Report</w:t>
      </w:r>
    </w:p>
    <w:p w14:paraId="4AA8ED04" w14:textId="44EF0E2E" w:rsidR="00FB30FA" w:rsidRPr="00452CE4" w:rsidRDefault="00430995" w:rsidP="00430995">
      <w:pPr>
        <w:tabs>
          <w:tab w:val="center" w:pos="4819"/>
          <w:tab w:val="right" w:pos="9638"/>
        </w:tabs>
        <w:rPr>
          <w:rFonts w:ascii="Arial" w:hAnsi="Arial" w:cs="Arial"/>
          <w:b/>
          <w:sz w:val="40"/>
          <w:szCs w:val="40"/>
          <w:lang w:val="en-GB"/>
        </w:rPr>
      </w:pPr>
      <w:r w:rsidRPr="00452CE4">
        <w:rPr>
          <w:rFonts w:ascii="Arial" w:hAnsi="Arial" w:cs="Arial"/>
          <w:b/>
          <w:sz w:val="40"/>
          <w:szCs w:val="40"/>
          <w:lang w:val="en-GB"/>
        </w:rPr>
        <w:tab/>
      </w:r>
      <w:r w:rsidR="00FB1D9B" w:rsidRPr="00452CE4">
        <w:rPr>
          <w:rFonts w:ascii="Arial" w:hAnsi="Arial" w:cs="Arial"/>
          <w:b/>
          <w:sz w:val="40"/>
          <w:szCs w:val="40"/>
          <w:lang w:val="en-GB"/>
        </w:rPr>
        <w:t>20</w:t>
      </w:r>
      <w:r w:rsidR="005D5B17">
        <w:rPr>
          <w:rFonts w:ascii="Arial" w:hAnsi="Arial" w:cs="Arial"/>
          <w:b/>
          <w:sz w:val="40"/>
          <w:szCs w:val="40"/>
          <w:lang w:val="en-GB"/>
        </w:rPr>
        <w:t>2</w:t>
      </w:r>
      <w:r w:rsidR="007A15C4">
        <w:rPr>
          <w:rFonts w:ascii="Arial" w:hAnsi="Arial" w:cs="Arial"/>
          <w:b/>
          <w:sz w:val="40"/>
          <w:szCs w:val="40"/>
          <w:lang w:val="en-GB"/>
        </w:rPr>
        <w:t>4</w:t>
      </w:r>
      <w:r w:rsidR="00FB1D9B" w:rsidRPr="00452CE4">
        <w:rPr>
          <w:rFonts w:ascii="Arial" w:hAnsi="Arial" w:cs="Arial"/>
          <w:b/>
          <w:sz w:val="40"/>
          <w:szCs w:val="40"/>
          <w:lang w:val="en-GB"/>
        </w:rPr>
        <w:t>/20</w:t>
      </w:r>
      <w:r w:rsidR="005D5B17">
        <w:rPr>
          <w:rFonts w:ascii="Arial" w:hAnsi="Arial" w:cs="Arial"/>
          <w:b/>
          <w:sz w:val="40"/>
          <w:szCs w:val="40"/>
          <w:lang w:val="en-GB"/>
        </w:rPr>
        <w:t>2</w:t>
      </w:r>
      <w:r w:rsidR="007A15C4">
        <w:rPr>
          <w:rFonts w:ascii="Arial" w:hAnsi="Arial" w:cs="Arial"/>
          <w:b/>
          <w:sz w:val="40"/>
          <w:szCs w:val="40"/>
          <w:lang w:val="en-GB"/>
        </w:rPr>
        <w:t>5</w:t>
      </w:r>
      <w:r w:rsidRPr="00452CE4">
        <w:rPr>
          <w:rFonts w:ascii="Arial" w:hAnsi="Arial" w:cs="Arial"/>
          <w:b/>
          <w:sz w:val="40"/>
          <w:szCs w:val="40"/>
          <w:lang w:val="en-GB"/>
        </w:rPr>
        <w:tab/>
      </w:r>
    </w:p>
    <w:p w14:paraId="4D99A1A5" w14:textId="77777777" w:rsidR="00CB1BB3" w:rsidRPr="00452CE4" w:rsidRDefault="00CB1BB3">
      <w:pPr>
        <w:rPr>
          <w:rFonts w:ascii="Arial" w:hAnsi="Arial" w:cs="Arial"/>
          <w:lang w:val="en-GB"/>
        </w:rPr>
      </w:pPr>
    </w:p>
    <w:p w14:paraId="19DB2610" w14:textId="77777777" w:rsidR="00884243" w:rsidRPr="00452CE4" w:rsidRDefault="00884243">
      <w:pPr>
        <w:rPr>
          <w:rFonts w:ascii="Arial" w:hAnsi="Arial" w:cs="Arial"/>
          <w:lang w:val="en-GB"/>
        </w:rPr>
      </w:pPr>
    </w:p>
    <w:p w14:paraId="074FF59A" w14:textId="77777777" w:rsidR="00884243" w:rsidRPr="00452CE4" w:rsidRDefault="00884243">
      <w:pPr>
        <w:rPr>
          <w:rFonts w:ascii="Arial" w:hAnsi="Arial" w:cs="Arial"/>
          <w:lang w:val="en-GB"/>
        </w:rPr>
      </w:pPr>
    </w:p>
    <w:p w14:paraId="218DDADB" w14:textId="77777777" w:rsidR="00CB1BB3" w:rsidRPr="00452CE4" w:rsidRDefault="00CB1BB3">
      <w:pPr>
        <w:rPr>
          <w:rFonts w:ascii="Arial" w:hAnsi="Arial" w:cs="Arial"/>
          <w:lang w:val="en-GB"/>
        </w:rPr>
      </w:pPr>
    </w:p>
    <w:p w14:paraId="5A11C917" w14:textId="0B08A140" w:rsidR="00CB1BB3" w:rsidRPr="00452CE4" w:rsidRDefault="009D7A03" w:rsidP="009D7A03">
      <w:pPr>
        <w:tabs>
          <w:tab w:val="left" w:pos="2680"/>
        </w:tabs>
        <w:rPr>
          <w:rFonts w:ascii="Arial" w:hAnsi="Arial" w:cs="Arial"/>
          <w:lang w:val="en-GB"/>
        </w:rPr>
      </w:pPr>
      <w:r>
        <w:rPr>
          <w:rFonts w:ascii="Arial" w:hAnsi="Arial" w:cs="Arial"/>
          <w:lang w:val="en-GB"/>
        </w:rPr>
        <w:tab/>
      </w:r>
    </w:p>
    <w:p w14:paraId="775C66C5" w14:textId="77777777" w:rsidR="00CB1BB3" w:rsidRPr="00452CE4" w:rsidRDefault="00CB1BB3">
      <w:pPr>
        <w:rPr>
          <w:rFonts w:ascii="Arial" w:hAnsi="Arial" w:cs="Arial"/>
          <w:lang w:val="en-GB"/>
        </w:rPr>
      </w:pPr>
    </w:p>
    <w:p w14:paraId="2EDF9797" w14:textId="77777777" w:rsidR="00CB1BB3" w:rsidRPr="00452CE4" w:rsidRDefault="00CB1BB3">
      <w:pPr>
        <w:rPr>
          <w:rFonts w:ascii="Arial" w:hAnsi="Arial" w:cs="Arial"/>
          <w:lang w:val="en-GB"/>
        </w:rPr>
      </w:pPr>
    </w:p>
    <w:p w14:paraId="52C757CB" w14:textId="77777777" w:rsidR="00CB1BB3" w:rsidRPr="00452CE4" w:rsidRDefault="00CB1BB3">
      <w:pPr>
        <w:rPr>
          <w:rFonts w:ascii="Arial" w:hAnsi="Arial" w:cs="Arial"/>
          <w:lang w:val="en-GB"/>
        </w:rPr>
      </w:pPr>
    </w:p>
    <w:p w14:paraId="447FDBB7" w14:textId="77777777" w:rsidR="00A44CEB" w:rsidRPr="00452CE4" w:rsidRDefault="00AC081F" w:rsidP="00A44CEB">
      <w:pPr>
        <w:jc w:val="center"/>
        <w:rPr>
          <w:rFonts w:ascii="Arial" w:hAnsi="Arial" w:cs="Arial"/>
          <w:b/>
          <w:sz w:val="20"/>
          <w:szCs w:val="20"/>
          <w:lang w:val="en-GB"/>
        </w:rPr>
      </w:pPr>
      <w:r w:rsidRPr="00452CE4">
        <w:rPr>
          <w:rFonts w:ascii="Arial" w:hAnsi="Arial" w:cs="Arial"/>
          <w:b/>
          <w:sz w:val="20"/>
          <w:szCs w:val="20"/>
          <w:lang w:val="en-GB"/>
        </w:rPr>
        <w:t>Author/Presenter:</w:t>
      </w:r>
    </w:p>
    <w:p w14:paraId="781CD491" w14:textId="77777777" w:rsidR="00A44CEB" w:rsidRPr="00452CE4" w:rsidRDefault="005D5B17" w:rsidP="00A44CEB">
      <w:pPr>
        <w:jc w:val="center"/>
        <w:rPr>
          <w:rFonts w:ascii="Arial" w:hAnsi="Arial" w:cs="Arial"/>
          <w:b/>
          <w:sz w:val="20"/>
          <w:szCs w:val="20"/>
          <w:lang w:val="en-GB"/>
        </w:rPr>
      </w:pPr>
      <w:r>
        <w:rPr>
          <w:rFonts w:ascii="Arial" w:hAnsi="Arial" w:cs="Arial"/>
          <w:b/>
          <w:sz w:val="20"/>
          <w:szCs w:val="20"/>
          <w:lang w:val="en-GB"/>
        </w:rPr>
        <w:t xml:space="preserve">Jo </w:t>
      </w:r>
      <w:proofErr w:type="spellStart"/>
      <w:r>
        <w:rPr>
          <w:rFonts w:ascii="Arial" w:hAnsi="Arial" w:cs="Arial"/>
          <w:b/>
          <w:sz w:val="20"/>
          <w:szCs w:val="20"/>
          <w:lang w:val="en-GB"/>
        </w:rPr>
        <w:t>Mason-Higg</w:t>
      </w:r>
      <w:r w:rsidR="00AC081F" w:rsidRPr="00452CE4">
        <w:rPr>
          <w:rFonts w:ascii="Arial" w:hAnsi="Arial" w:cs="Arial"/>
          <w:b/>
          <w:sz w:val="20"/>
          <w:szCs w:val="20"/>
          <w:lang w:val="en-GB"/>
        </w:rPr>
        <w:t>ins,</w:t>
      </w:r>
      <w:proofErr w:type="spellEnd"/>
    </w:p>
    <w:p w14:paraId="61637159" w14:textId="787E2DB5" w:rsidR="00CB1BB3" w:rsidRPr="00452CE4" w:rsidRDefault="00FC742E" w:rsidP="00A44CEB">
      <w:pPr>
        <w:jc w:val="center"/>
        <w:rPr>
          <w:rFonts w:ascii="Arial" w:hAnsi="Arial" w:cs="Arial"/>
          <w:lang w:val="en-GB"/>
        </w:rPr>
      </w:pPr>
      <w:r>
        <w:rPr>
          <w:rFonts w:ascii="Arial" w:hAnsi="Arial" w:cs="Arial"/>
          <w:b/>
          <w:sz w:val="20"/>
          <w:szCs w:val="20"/>
          <w:lang w:val="en-GB"/>
        </w:rPr>
        <w:t>Acting Associate Director of Safety (Investigation and Family Support)</w:t>
      </w:r>
    </w:p>
    <w:p w14:paraId="3F00542D" w14:textId="77777777" w:rsidR="00884243" w:rsidRPr="00452CE4" w:rsidRDefault="00884243">
      <w:pPr>
        <w:rPr>
          <w:rFonts w:ascii="Arial" w:hAnsi="Arial" w:cs="Arial"/>
          <w:lang w:val="en-GB"/>
        </w:rPr>
        <w:sectPr w:rsidR="00884243" w:rsidRPr="00452CE4" w:rsidSect="007A18BA">
          <w:footerReference w:type="default" r:id="rId8"/>
          <w:headerReference w:type="first" r:id="rId9"/>
          <w:footerReference w:type="first" r:id="rId10"/>
          <w:pgSz w:w="11906" w:h="16838" w:code="9"/>
          <w:pgMar w:top="1440" w:right="1134" w:bottom="1440" w:left="1134" w:header="709" w:footer="709" w:gutter="0"/>
          <w:cols w:space="708"/>
          <w:titlePg/>
          <w:docGrid w:linePitch="360"/>
        </w:sectPr>
      </w:pPr>
    </w:p>
    <w:p w14:paraId="0AAA0AF5" w14:textId="77777777" w:rsidR="0036353C" w:rsidRPr="00452CE4" w:rsidRDefault="0036353C" w:rsidP="0036353C">
      <w:pPr>
        <w:ind w:left="360"/>
        <w:jc w:val="center"/>
        <w:rPr>
          <w:rFonts w:ascii="Arial" w:hAnsi="Arial" w:cs="Arial"/>
          <w:b/>
          <w:lang w:val="en-GB"/>
        </w:rPr>
      </w:pPr>
    </w:p>
    <w:p w14:paraId="38730CDB" w14:textId="77777777" w:rsidR="0036353C" w:rsidRPr="00452CE4" w:rsidRDefault="0036353C" w:rsidP="0036353C">
      <w:pPr>
        <w:ind w:left="360"/>
        <w:jc w:val="center"/>
        <w:rPr>
          <w:rFonts w:ascii="Arial" w:hAnsi="Arial" w:cs="Arial"/>
          <w:b/>
          <w:lang w:val="en-GB"/>
        </w:rPr>
      </w:pPr>
    </w:p>
    <w:p w14:paraId="30C0FBB6" w14:textId="30C5192A" w:rsidR="00884243" w:rsidRPr="00B1260F" w:rsidRDefault="00FB30FA" w:rsidP="00625EEF">
      <w:pPr>
        <w:tabs>
          <w:tab w:val="center" w:pos="4999"/>
          <w:tab w:val="left" w:pos="8670"/>
        </w:tabs>
        <w:ind w:left="360"/>
        <w:jc w:val="center"/>
        <w:rPr>
          <w:rFonts w:ascii="Arial" w:hAnsi="Arial" w:cs="Arial"/>
          <w:b/>
          <w:lang w:val="en-GB"/>
        </w:rPr>
      </w:pPr>
      <w:r w:rsidRPr="00B1260F">
        <w:rPr>
          <w:rFonts w:ascii="Arial" w:hAnsi="Arial" w:cs="Arial"/>
          <w:b/>
          <w:lang w:val="en-GB"/>
        </w:rPr>
        <w:t>Contents</w:t>
      </w:r>
    </w:p>
    <w:p w14:paraId="768539E6" w14:textId="77777777" w:rsidR="0036353C" w:rsidRPr="00B1260F" w:rsidRDefault="0036353C" w:rsidP="0036353C">
      <w:pPr>
        <w:ind w:left="360"/>
        <w:jc w:val="center"/>
        <w:rPr>
          <w:rFonts w:ascii="Arial" w:hAnsi="Arial" w:cs="Arial"/>
          <w:b/>
          <w:sz w:val="22"/>
          <w:szCs w:val="22"/>
          <w:lang w:val="en-GB"/>
        </w:rPr>
      </w:pPr>
    </w:p>
    <w:p w14:paraId="700B2304" w14:textId="77777777" w:rsidR="0036353C" w:rsidRPr="00452CE4" w:rsidRDefault="0036353C" w:rsidP="0036353C">
      <w:pPr>
        <w:ind w:left="360"/>
        <w:jc w:val="center"/>
        <w:rPr>
          <w:rFonts w:ascii="Arial" w:hAnsi="Arial" w:cs="Arial"/>
          <w:b/>
          <w:sz w:val="22"/>
          <w:szCs w:val="22"/>
          <w:lang w:val="en-GB"/>
        </w:rPr>
      </w:pPr>
    </w:p>
    <w:p w14:paraId="764B3108" w14:textId="77777777" w:rsidR="0036353C" w:rsidRPr="00452CE4" w:rsidRDefault="0036353C" w:rsidP="0036353C">
      <w:pPr>
        <w:ind w:left="360"/>
        <w:jc w:val="center"/>
        <w:rPr>
          <w:rFonts w:ascii="Arial" w:hAnsi="Arial" w:cs="Arial"/>
          <w:b/>
          <w:sz w:val="22"/>
          <w:szCs w:val="22"/>
          <w:lang w:val="en-GB"/>
        </w:rPr>
      </w:pPr>
    </w:p>
    <w:p w14:paraId="3DA5055B" w14:textId="77777777" w:rsidR="00F7339C" w:rsidRPr="00452CE4" w:rsidRDefault="00F7339C" w:rsidP="00FB30FA">
      <w:pPr>
        <w:ind w:left="360"/>
        <w:rPr>
          <w:rFonts w:ascii="Arial" w:hAnsi="Arial" w:cs="Arial"/>
          <w:b/>
          <w:sz w:val="22"/>
          <w:szCs w:val="22"/>
          <w:lang w:val="en-GB"/>
        </w:rPr>
      </w:pPr>
    </w:p>
    <w:tbl>
      <w:tblPr>
        <w:tblStyle w:val="TableGrid"/>
        <w:tblW w:w="0" w:type="auto"/>
        <w:tblLook w:val="04A0" w:firstRow="1" w:lastRow="0" w:firstColumn="1" w:lastColumn="0" w:noHBand="0" w:noVBand="1"/>
      </w:tblPr>
      <w:tblGrid>
        <w:gridCol w:w="5926"/>
        <w:gridCol w:w="3702"/>
      </w:tblGrid>
      <w:tr w:rsidR="00FB30FA" w:rsidRPr="004537C7" w14:paraId="1CD0C1C0" w14:textId="77777777" w:rsidTr="00E36F1E">
        <w:trPr>
          <w:trHeight w:val="576"/>
        </w:trPr>
        <w:tc>
          <w:tcPr>
            <w:tcW w:w="5926" w:type="dxa"/>
            <w:shd w:val="clear" w:color="auto" w:fill="D9D9D9" w:themeFill="background1" w:themeFillShade="D9"/>
            <w:vAlign w:val="center"/>
          </w:tcPr>
          <w:p w14:paraId="7ECB3ADD" w14:textId="77777777" w:rsidR="00FB30FA" w:rsidRPr="00452CE4" w:rsidRDefault="00FB30FA" w:rsidP="00F7339C">
            <w:pPr>
              <w:rPr>
                <w:rFonts w:ascii="Arial" w:hAnsi="Arial" w:cs="Arial"/>
                <w:b/>
                <w:lang w:val="en-GB"/>
              </w:rPr>
            </w:pPr>
            <w:r w:rsidRPr="00452CE4">
              <w:rPr>
                <w:rFonts w:ascii="Arial" w:hAnsi="Arial" w:cs="Arial"/>
                <w:b/>
                <w:lang w:val="en-GB"/>
              </w:rPr>
              <w:t>Section</w:t>
            </w:r>
          </w:p>
          <w:p w14:paraId="559E2313" w14:textId="77777777" w:rsidR="00FB30FA" w:rsidRPr="00452CE4" w:rsidRDefault="00FB30FA" w:rsidP="00F7339C">
            <w:pPr>
              <w:rPr>
                <w:rFonts w:ascii="Arial" w:hAnsi="Arial" w:cs="Arial"/>
                <w:b/>
                <w:lang w:val="en-GB"/>
              </w:rPr>
            </w:pPr>
          </w:p>
        </w:tc>
        <w:tc>
          <w:tcPr>
            <w:tcW w:w="3702" w:type="dxa"/>
            <w:shd w:val="clear" w:color="auto" w:fill="D9D9D9" w:themeFill="background1" w:themeFillShade="D9"/>
            <w:vAlign w:val="center"/>
          </w:tcPr>
          <w:p w14:paraId="2EB4743C" w14:textId="77777777" w:rsidR="00FB30FA" w:rsidRPr="00452CE4" w:rsidRDefault="00F7339C" w:rsidP="00F7339C">
            <w:pPr>
              <w:rPr>
                <w:rFonts w:ascii="Arial" w:hAnsi="Arial" w:cs="Arial"/>
                <w:b/>
                <w:lang w:val="en-GB"/>
              </w:rPr>
            </w:pPr>
            <w:r w:rsidRPr="00452CE4">
              <w:rPr>
                <w:rFonts w:ascii="Arial" w:hAnsi="Arial" w:cs="Arial"/>
                <w:b/>
                <w:lang w:val="en-GB"/>
              </w:rPr>
              <w:t>Page</w:t>
            </w:r>
          </w:p>
          <w:p w14:paraId="5BDBDD97" w14:textId="77777777" w:rsidR="00FB30FA" w:rsidRPr="00452CE4" w:rsidRDefault="00FB30FA" w:rsidP="00F7339C">
            <w:pPr>
              <w:rPr>
                <w:rFonts w:ascii="Arial" w:hAnsi="Arial" w:cs="Arial"/>
                <w:b/>
                <w:lang w:val="en-GB"/>
              </w:rPr>
            </w:pPr>
          </w:p>
        </w:tc>
      </w:tr>
      <w:tr w:rsidR="00FB30FA" w:rsidRPr="0005008D" w14:paraId="4D19F8CE" w14:textId="77777777" w:rsidTr="00E36F1E">
        <w:trPr>
          <w:trHeight w:val="573"/>
        </w:trPr>
        <w:tc>
          <w:tcPr>
            <w:tcW w:w="5926" w:type="dxa"/>
            <w:vAlign w:val="center"/>
          </w:tcPr>
          <w:p w14:paraId="0FA598B4" w14:textId="77777777" w:rsidR="00FB30FA" w:rsidRPr="0005008D" w:rsidRDefault="00FB30FA" w:rsidP="00F7339C">
            <w:pPr>
              <w:rPr>
                <w:rFonts w:ascii="Arial" w:hAnsi="Arial" w:cs="Arial"/>
                <w:b/>
                <w:lang w:val="en-GB"/>
              </w:rPr>
            </w:pPr>
            <w:r w:rsidRPr="0005008D">
              <w:rPr>
                <w:rFonts w:ascii="Arial" w:hAnsi="Arial" w:cs="Arial"/>
                <w:lang w:val="en-GB"/>
              </w:rPr>
              <w:t>Executive summary</w:t>
            </w:r>
          </w:p>
        </w:tc>
        <w:tc>
          <w:tcPr>
            <w:tcW w:w="3702" w:type="dxa"/>
            <w:vAlign w:val="center"/>
          </w:tcPr>
          <w:p w14:paraId="5EDFDC79" w14:textId="77777777" w:rsidR="00FB30FA" w:rsidRPr="0005008D" w:rsidRDefault="004B5E6C" w:rsidP="00F7339C">
            <w:pPr>
              <w:rPr>
                <w:rFonts w:ascii="Arial" w:hAnsi="Arial" w:cs="Arial"/>
                <w:b/>
                <w:lang w:val="en-GB"/>
              </w:rPr>
            </w:pPr>
            <w:r w:rsidRPr="0005008D">
              <w:rPr>
                <w:rFonts w:ascii="Arial" w:hAnsi="Arial" w:cs="Arial"/>
                <w:b/>
                <w:lang w:val="en-GB"/>
              </w:rPr>
              <w:t>2</w:t>
            </w:r>
          </w:p>
        </w:tc>
      </w:tr>
      <w:tr w:rsidR="00FB30FA" w:rsidRPr="0005008D" w14:paraId="1E95409D" w14:textId="77777777" w:rsidTr="00E36F1E">
        <w:trPr>
          <w:trHeight w:val="573"/>
        </w:trPr>
        <w:tc>
          <w:tcPr>
            <w:tcW w:w="5926" w:type="dxa"/>
            <w:vAlign w:val="center"/>
          </w:tcPr>
          <w:p w14:paraId="786AD16C" w14:textId="77777777" w:rsidR="00FB30FA" w:rsidRPr="0005008D" w:rsidRDefault="00FB30FA" w:rsidP="00165C20">
            <w:pPr>
              <w:pStyle w:val="ListParagraph"/>
              <w:numPr>
                <w:ilvl w:val="0"/>
                <w:numId w:val="1"/>
              </w:numPr>
              <w:ind w:left="284" w:hanging="284"/>
              <w:rPr>
                <w:rFonts w:ascii="Arial" w:hAnsi="Arial" w:cs="Arial"/>
                <w:b/>
                <w:lang w:val="en-GB"/>
              </w:rPr>
            </w:pPr>
            <w:r w:rsidRPr="0005008D">
              <w:rPr>
                <w:rFonts w:ascii="Arial" w:hAnsi="Arial" w:cs="Arial"/>
                <w:lang w:val="en-GB"/>
              </w:rPr>
              <w:t>Accountability for complaints management</w:t>
            </w:r>
          </w:p>
        </w:tc>
        <w:tc>
          <w:tcPr>
            <w:tcW w:w="3702" w:type="dxa"/>
            <w:vAlign w:val="center"/>
          </w:tcPr>
          <w:p w14:paraId="34F10D3A" w14:textId="0FB50046" w:rsidR="00FB30FA" w:rsidRPr="0005008D" w:rsidRDefault="00CA09C2" w:rsidP="00F7339C">
            <w:pPr>
              <w:rPr>
                <w:rFonts w:ascii="Arial" w:hAnsi="Arial" w:cs="Arial"/>
                <w:b/>
                <w:lang w:val="en-GB"/>
              </w:rPr>
            </w:pPr>
            <w:r>
              <w:rPr>
                <w:rFonts w:ascii="Arial" w:hAnsi="Arial" w:cs="Arial"/>
                <w:b/>
                <w:lang w:val="en-GB"/>
              </w:rPr>
              <w:t>3</w:t>
            </w:r>
          </w:p>
        </w:tc>
      </w:tr>
      <w:tr w:rsidR="00FB30FA" w:rsidRPr="0005008D" w14:paraId="6012CE3A" w14:textId="77777777" w:rsidTr="00E36F1E">
        <w:trPr>
          <w:trHeight w:val="573"/>
        </w:trPr>
        <w:tc>
          <w:tcPr>
            <w:tcW w:w="5926" w:type="dxa"/>
            <w:vAlign w:val="center"/>
          </w:tcPr>
          <w:p w14:paraId="5EDC9901" w14:textId="77777777" w:rsidR="00FB30FA" w:rsidRPr="0005008D" w:rsidRDefault="00FB30FA" w:rsidP="00165C20">
            <w:pPr>
              <w:pStyle w:val="ListParagraph"/>
              <w:numPr>
                <w:ilvl w:val="0"/>
                <w:numId w:val="1"/>
              </w:numPr>
              <w:ind w:left="284" w:hanging="284"/>
              <w:rPr>
                <w:rFonts w:ascii="Arial" w:hAnsi="Arial" w:cs="Arial"/>
                <w:b/>
                <w:lang w:val="en-GB"/>
              </w:rPr>
            </w:pPr>
            <w:r w:rsidRPr="0005008D">
              <w:rPr>
                <w:rFonts w:ascii="Arial" w:hAnsi="Arial" w:cs="Arial"/>
                <w:lang w:val="en-GB"/>
              </w:rPr>
              <w:t>Complaints reporting</w:t>
            </w:r>
          </w:p>
        </w:tc>
        <w:tc>
          <w:tcPr>
            <w:tcW w:w="3702" w:type="dxa"/>
            <w:vAlign w:val="center"/>
          </w:tcPr>
          <w:p w14:paraId="4FE6B0A0" w14:textId="5AA7FCA4" w:rsidR="00FB30FA" w:rsidRPr="0005008D" w:rsidRDefault="00CA09C2" w:rsidP="00F7339C">
            <w:pPr>
              <w:rPr>
                <w:rFonts w:ascii="Arial" w:hAnsi="Arial" w:cs="Arial"/>
                <w:b/>
                <w:lang w:val="en-GB"/>
              </w:rPr>
            </w:pPr>
            <w:r>
              <w:rPr>
                <w:rFonts w:ascii="Arial" w:hAnsi="Arial" w:cs="Arial"/>
                <w:b/>
                <w:lang w:val="en-GB"/>
              </w:rPr>
              <w:t>3</w:t>
            </w:r>
          </w:p>
        </w:tc>
      </w:tr>
      <w:tr w:rsidR="00FB30FA" w:rsidRPr="0005008D" w14:paraId="3C0FF334" w14:textId="77777777" w:rsidTr="00E36F1E">
        <w:trPr>
          <w:trHeight w:val="573"/>
        </w:trPr>
        <w:tc>
          <w:tcPr>
            <w:tcW w:w="5926" w:type="dxa"/>
            <w:vAlign w:val="center"/>
          </w:tcPr>
          <w:p w14:paraId="4C7E7AAF" w14:textId="7A242E2C" w:rsidR="00FB30FA" w:rsidRPr="0005008D" w:rsidRDefault="00FB30FA" w:rsidP="00165C20">
            <w:pPr>
              <w:pStyle w:val="ListParagraph"/>
              <w:numPr>
                <w:ilvl w:val="0"/>
                <w:numId w:val="1"/>
              </w:numPr>
              <w:ind w:left="284" w:hanging="284"/>
              <w:rPr>
                <w:rFonts w:ascii="Arial" w:hAnsi="Arial" w:cs="Arial"/>
                <w:lang w:val="en-GB"/>
              </w:rPr>
            </w:pPr>
            <w:r w:rsidRPr="0005008D">
              <w:rPr>
                <w:rFonts w:ascii="Arial" w:hAnsi="Arial" w:cs="Arial"/>
                <w:lang w:val="en-GB"/>
              </w:rPr>
              <w:t>T</w:t>
            </w:r>
            <w:r w:rsidR="00430995" w:rsidRPr="0005008D">
              <w:rPr>
                <w:rFonts w:ascii="Arial" w:hAnsi="Arial" w:cs="Arial"/>
                <w:lang w:val="en-GB"/>
              </w:rPr>
              <w:t xml:space="preserve">otal </w:t>
            </w:r>
            <w:r w:rsidR="005D5B17" w:rsidRPr="0005008D">
              <w:rPr>
                <w:rFonts w:ascii="Arial" w:hAnsi="Arial" w:cs="Arial"/>
                <w:lang w:val="en-GB"/>
              </w:rPr>
              <w:t>complaints received in 202</w:t>
            </w:r>
            <w:r w:rsidR="007A15C4">
              <w:rPr>
                <w:rFonts w:ascii="Arial" w:hAnsi="Arial" w:cs="Arial"/>
                <w:lang w:val="en-GB"/>
              </w:rPr>
              <w:t>4-2025</w:t>
            </w:r>
          </w:p>
        </w:tc>
        <w:tc>
          <w:tcPr>
            <w:tcW w:w="3702" w:type="dxa"/>
            <w:vAlign w:val="center"/>
          </w:tcPr>
          <w:p w14:paraId="2B356FD4" w14:textId="3AD3F386" w:rsidR="00CA09C2" w:rsidRPr="0005008D" w:rsidRDefault="00CA09C2" w:rsidP="00F7339C">
            <w:pPr>
              <w:rPr>
                <w:rFonts w:ascii="Arial" w:hAnsi="Arial" w:cs="Arial"/>
                <w:b/>
                <w:lang w:val="en-GB"/>
              </w:rPr>
            </w:pPr>
            <w:r>
              <w:rPr>
                <w:rFonts w:ascii="Arial" w:hAnsi="Arial" w:cs="Arial"/>
                <w:b/>
                <w:lang w:val="en-GB"/>
              </w:rPr>
              <w:t>4</w:t>
            </w:r>
          </w:p>
        </w:tc>
      </w:tr>
      <w:tr w:rsidR="00C81DB8" w:rsidRPr="0005008D" w14:paraId="4E4EB087" w14:textId="77777777" w:rsidTr="00E36F1E">
        <w:trPr>
          <w:trHeight w:val="573"/>
        </w:trPr>
        <w:tc>
          <w:tcPr>
            <w:tcW w:w="5926" w:type="dxa"/>
            <w:vAlign w:val="center"/>
          </w:tcPr>
          <w:p w14:paraId="4AF1EDE7" w14:textId="77777777" w:rsidR="00C81DB8" w:rsidRPr="0005008D" w:rsidRDefault="00C81DB8" w:rsidP="00165C20">
            <w:pPr>
              <w:pStyle w:val="ListParagraph"/>
              <w:numPr>
                <w:ilvl w:val="0"/>
                <w:numId w:val="1"/>
              </w:numPr>
              <w:ind w:left="284" w:hanging="284"/>
              <w:rPr>
                <w:rFonts w:ascii="Arial" w:hAnsi="Arial" w:cs="Arial"/>
                <w:lang w:val="en-GB"/>
              </w:rPr>
            </w:pPr>
            <w:r w:rsidRPr="0005008D">
              <w:rPr>
                <w:rFonts w:ascii="Arial" w:hAnsi="Arial" w:cs="Arial"/>
                <w:lang w:val="en-GB"/>
              </w:rPr>
              <w:t>Outcomes</w:t>
            </w:r>
          </w:p>
        </w:tc>
        <w:tc>
          <w:tcPr>
            <w:tcW w:w="3702" w:type="dxa"/>
            <w:vAlign w:val="center"/>
          </w:tcPr>
          <w:p w14:paraId="3E4092DB" w14:textId="42FADF97" w:rsidR="00C81DB8" w:rsidRPr="0005008D" w:rsidRDefault="00E36F1E" w:rsidP="00F7339C">
            <w:pPr>
              <w:rPr>
                <w:rFonts w:ascii="Arial" w:hAnsi="Arial" w:cs="Arial"/>
                <w:b/>
                <w:lang w:val="en-GB"/>
              </w:rPr>
            </w:pPr>
            <w:r>
              <w:rPr>
                <w:rFonts w:ascii="Arial" w:hAnsi="Arial" w:cs="Arial"/>
                <w:b/>
                <w:lang w:val="en-GB"/>
              </w:rPr>
              <w:t>5</w:t>
            </w:r>
          </w:p>
        </w:tc>
      </w:tr>
      <w:tr w:rsidR="00FB30FA" w:rsidRPr="0005008D" w14:paraId="50201969" w14:textId="77777777" w:rsidTr="00E36F1E">
        <w:trPr>
          <w:trHeight w:val="573"/>
        </w:trPr>
        <w:tc>
          <w:tcPr>
            <w:tcW w:w="5926" w:type="dxa"/>
            <w:vAlign w:val="center"/>
          </w:tcPr>
          <w:p w14:paraId="3BD70422" w14:textId="77777777" w:rsidR="00FB30FA" w:rsidRPr="0005008D" w:rsidRDefault="00FB30FA" w:rsidP="00165C20">
            <w:pPr>
              <w:pStyle w:val="ListParagraph"/>
              <w:numPr>
                <w:ilvl w:val="0"/>
                <w:numId w:val="1"/>
              </w:numPr>
              <w:ind w:left="284" w:hanging="284"/>
              <w:rPr>
                <w:rFonts w:ascii="Arial" w:hAnsi="Arial" w:cs="Arial"/>
                <w:lang w:val="en-GB"/>
              </w:rPr>
            </w:pPr>
            <w:r w:rsidRPr="0005008D">
              <w:rPr>
                <w:rFonts w:ascii="Arial" w:hAnsi="Arial" w:cs="Arial"/>
                <w:lang w:val="en-GB"/>
              </w:rPr>
              <w:t>Complaint themes</w:t>
            </w:r>
          </w:p>
        </w:tc>
        <w:tc>
          <w:tcPr>
            <w:tcW w:w="3702" w:type="dxa"/>
            <w:vAlign w:val="center"/>
          </w:tcPr>
          <w:p w14:paraId="42C66511" w14:textId="267184BA" w:rsidR="00FB30FA" w:rsidRPr="0005008D" w:rsidRDefault="00E36F1E" w:rsidP="00F7339C">
            <w:pPr>
              <w:rPr>
                <w:rFonts w:ascii="Arial" w:hAnsi="Arial" w:cs="Arial"/>
                <w:b/>
                <w:lang w:val="en-GB"/>
              </w:rPr>
            </w:pPr>
            <w:r>
              <w:rPr>
                <w:rFonts w:ascii="Arial" w:hAnsi="Arial" w:cs="Arial"/>
                <w:b/>
                <w:lang w:val="en-GB"/>
              </w:rPr>
              <w:t>8</w:t>
            </w:r>
          </w:p>
        </w:tc>
      </w:tr>
      <w:tr w:rsidR="00FB30FA" w:rsidRPr="0005008D" w14:paraId="0A9ED53F" w14:textId="77777777" w:rsidTr="00E36F1E">
        <w:trPr>
          <w:trHeight w:val="573"/>
        </w:trPr>
        <w:tc>
          <w:tcPr>
            <w:tcW w:w="5926" w:type="dxa"/>
            <w:vAlign w:val="center"/>
          </w:tcPr>
          <w:p w14:paraId="7A7BC1FC" w14:textId="77777777" w:rsidR="00FB30FA" w:rsidRPr="0005008D" w:rsidRDefault="00FB30FA" w:rsidP="00165C20">
            <w:pPr>
              <w:pStyle w:val="ListParagraph"/>
              <w:numPr>
                <w:ilvl w:val="0"/>
                <w:numId w:val="1"/>
              </w:numPr>
              <w:ind w:left="284" w:hanging="284"/>
              <w:rPr>
                <w:rFonts w:ascii="Arial" w:hAnsi="Arial" w:cs="Arial"/>
                <w:lang w:val="en-GB"/>
              </w:rPr>
            </w:pPr>
            <w:r w:rsidRPr="0005008D">
              <w:rPr>
                <w:rFonts w:ascii="Arial" w:hAnsi="Arial" w:cs="Arial"/>
                <w:lang w:val="en-GB"/>
              </w:rPr>
              <w:t>Performance in responding to complaints</w:t>
            </w:r>
          </w:p>
        </w:tc>
        <w:tc>
          <w:tcPr>
            <w:tcW w:w="3702" w:type="dxa"/>
            <w:vAlign w:val="center"/>
          </w:tcPr>
          <w:p w14:paraId="78CDCF83" w14:textId="7BA52153" w:rsidR="00FB30FA" w:rsidRPr="0005008D" w:rsidRDefault="00FA5A12" w:rsidP="00F7339C">
            <w:pPr>
              <w:rPr>
                <w:rFonts w:ascii="Arial" w:hAnsi="Arial" w:cs="Arial"/>
                <w:b/>
                <w:lang w:val="en-GB"/>
              </w:rPr>
            </w:pPr>
            <w:r w:rsidRPr="0005008D">
              <w:rPr>
                <w:rFonts w:ascii="Arial" w:hAnsi="Arial" w:cs="Arial"/>
                <w:b/>
                <w:lang w:val="en-GB"/>
              </w:rPr>
              <w:t>1</w:t>
            </w:r>
            <w:r w:rsidR="00E36F1E">
              <w:rPr>
                <w:rFonts w:ascii="Arial" w:hAnsi="Arial" w:cs="Arial"/>
                <w:b/>
                <w:lang w:val="en-GB"/>
              </w:rPr>
              <w:t>0</w:t>
            </w:r>
          </w:p>
        </w:tc>
      </w:tr>
      <w:tr w:rsidR="00E36F1E" w:rsidRPr="0005008D" w14:paraId="125A8F69" w14:textId="77777777" w:rsidTr="00E36F1E">
        <w:trPr>
          <w:trHeight w:val="573"/>
        </w:trPr>
        <w:tc>
          <w:tcPr>
            <w:tcW w:w="5926" w:type="dxa"/>
            <w:vAlign w:val="center"/>
          </w:tcPr>
          <w:p w14:paraId="3450F38A" w14:textId="3CF96FA1" w:rsidR="00E36F1E" w:rsidRPr="0005008D" w:rsidRDefault="00E36F1E" w:rsidP="00165C20">
            <w:pPr>
              <w:pStyle w:val="ListParagraph"/>
              <w:numPr>
                <w:ilvl w:val="0"/>
                <w:numId w:val="1"/>
              </w:numPr>
              <w:ind w:left="284" w:hanging="284"/>
              <w:rPr>
                <w:rFonts w:ascii="Arial" w:hAnsi="Arial" w:cs="Arial"/>
                <w:lang w:val="en-GB"/>
              </w:rPr>
            </w:pPr>
            <w:r>
              <w:rPr>
                <w:rFonts w:ascii="Arial" w:hAnsi="Arial" w:cs="Arial"/>
                <w:lang w:val="en-GB"/>
              </w:rPr>
              <w:t>Complaint Improvement Programme</w:t>
            </w:r>
          </w:p>
        </w:tc>
        <w:tc>
          <w:tcPr>
            <w:tcW w:w="3702" w:type="dxa"/>
            <w:vAlign w:val="center"/>
          </w:tcPr>
          <w:p w14:paraId="209BC17D" w14:textId="4BF6A69E" w:rsidR="00E36F1E" w:rsidRPr="0005008D" w:rsidRDefault="00E36F1E" w:rsidP="00F7339C">
            <w:pPr>
              <w:rPr>
                <w:rFonts w:ascii="Arial" w:hAnsi="Arial" w:cs="Arial"/>
                <w:b/>
                <w:lang w:val="en-GB"/>
              </w:rPr>
            </w:pPr>
            <w:r>
              <w:rPr>
                <w:rFonts w:ascii="Arial" w:hAnsi="Arial" w:cs="Arial"/>
                <w:b/>
                <w:lang w:val="en-GB"/>
              </w:rPr>
              <w:t>11</w:t>
            </w:r>
          </w:p>
        </w:tc>
      </w:tr>
      <w:tr w:rsidR="00FB30FA" w:rsidRPr="0005008D" w14:paraId="0AE746AD" w14:textId="77777777" w:rsidTr="00E36F1E">
        <w:trPr>
          <w:trHeight w:val="573"/>
        </w:trPr>
        <w:tc>
          <w:tcPr>
            <w:tcW w:w="5926" w:type="dxa"/>
            <w:vAlign w:val="center"/>
          </w:tcPr>
          <w:p w14:paraId="0A6780B8" w14:textId="77777777" w:rsidR="00FB30FA" w:rsidRPr="0005008D" w:rsidRDefault="00C81DB8" w:rsidP="00165C20">
            <w:pPr>
              <w:pStyle w:val="ListParagraph"/>
              <w:numPr>
                <w:ilvl w:val="0"/>
                <w:numId w:val="1"/>
              </w:numPr>
              <w:ind w:left="284" w:hanging="284"/>
              <w:rPr>
                <w:rFonts w:ascii="Arial" w:hAnsi="Arial" w:cs="Arial"/>
                <w:lang w:val="en-GB"/>
              </w:rPr>
            </w:pPr>
            <w:r w:rsidRPr="0005008D">
              <w:rPr>
                <w:rFonts w:ascii="Arial" w:hAnsi="Arial" w:cs="Arial"/>
                <w:lang w:val="en-GB"/>
              </w:rPr>
              <w:t>Complaint Satisfaction with Complaint Response</w:t>
            </w:r>
          </w:p>
        </w:tc>
        <w:tc>
          <w:tcPr>
            <w:tcW w:w="3702" w:type="dxa"/>
            <w:vAlign w:val="center"/>
          </w:tcPr>
          <w:p w14:paraId="3FC1DA7A" w14:textId="7685E569" w:rsidR="00FB30FA" w:rsidRPr="0005008D" w:rsidRDefault="00710497" w:rsidP="00F7339C">
            <w:pPr>
              <w:rPr>
                <w:rFonts w:ascii="Arial" w:hAnsi="Arial" w:cs="Arial"/>
                <w:b/>
                <w:lang w:val="en-GB"/>
              </w:rPr>
            </w:pPr>
            <w:r w:rsidRPr="0005008D">
              <w:rPr>
                <w:rFonts w:ascii="Arial" w:hAnsi="Arial" w:cs="Arial"/>
                <w:b/>
                <w:lang w:val="en-GB"/>
              </w:rPr>
              <w:t>1</w:t>
            </w:r>
            <w:r w:rsidR="00F15D12">
              <w:rPr>
                <w:rFonts w:ascii="Arial" w:hAnsi="Arial" w:cs="Arial"/>
                <w:b/>
                <w:lang w:val="en-GB"/>
              </w:rPr>
              <w:t>2</w:t>
            </w:r>
          </w:p>
        </w:tc>
      </w:tr>
      <w:tr w:rsidR="00C81DB8" w:rsidRPr="0005008D" w14:paraId="3E9483E7" w14:textId="77777777" w:rsidTr="00E36F1E">
        <w:trPr>
          <w:trHeight w:val="573"/>
        </w:trPr>
        <w:tc>
          <w:tcPr>
            <w:tcW w:w="5926" w:type="dxa"/>
            <w:vAlign w:val="center"/>
          </w:tcPr>
          <w:p w14:paraId="658F11D8" w14:textId="77777777" w:rsidR="00C81DB8" w:rsidRPr="0005008D" w:rsidRDefault="00C81DB8" w:rsidP="00165C20">
            <w:pPr>
              <w:pStyle w:val="ListParagraph"/>
              <w:numPr>
                <w:ilvl w:val="0"/>
                <w:numId w:val="1"/>
              </w:numPr>
              <w:ind w:left="284" w:hanging="284"/>
              <w:rPr>
                <w:rFonts w:ascii="Arial" w:hAnsi="Arial" w:cs="Arial"/>
                <w:lang w:val="en-GB"/>
              </w:rPr>
            </w:pPr>
            <w:r w:rsidRPr="0005008D">
              <w:rPr>
                <w:rFonts w:ascii="Arial" w:hAnsi="Arial" w:cs="Arial"/>
                <w:lang w:val="en-GB"/>
              </w:rPr>
              <w:t>Parliamentary and Health Service Ombudsman</w:t>
            </w:r>
          </w:p>
        </w:tc>
        <w:tc>
          <w:tcPr>
            <w:tcW w:w="3702" w:type="dxa"/>
            <w:vAlign w:val="center"/>
          </w:tcPr>
          <w:p w14:paraId="3CAC71BF" w14:textId="78C76D90" w:rsidR="00C81DB8" w:rsidRPr="0005008D" w:rsidRDefault="00710497" w:rsidP="00F7339C">
            <w:pPr>
              <w:rPr>
                <w:rFonts w:ascii="Arial" w:hAnsi="Arial" w:cs="Arial"/>
                <w:b/>
                <w:lang w:val="en-GB"/>
              </w:rPr>
            </w:pPr>
            <w:r w:rsidRPr="0005008D">
              <w:rPr>
                <w:rFonts w:ascii="Arial" w:hAnsi="Arial" w:cs="Arial"/>
                <w:b/>
                <w:lang w:val="en-GB"/>
              </w:rPr>
              <w:t>1</w:t>
            </w:r>
            <w:r w:rsidR="00F15D12">
              <w:rPr>
                <w:rFonts w:ascii="Arial" w:hAnsi="Arial" w:cs="Arial"/>
                <w:b/>
                <w:lang w:val="en-GB"/>
              </w:rPr>
              <w:t>3</w:t>
            </w:r>
          </w:p>
        </w:tc>
      </w:tr>
      <w:tr w:rsidR="00FB30FA" w:rsidRPr="0005008D" w14:paraId="0B817473" w14:textId="77777777" w:rsidTr="00E36F1E">
        <w:trPr>
          <w:trHeight w:val="573"/>
        </w:trPr>
        <w:tc>
          <w:tcPr>
            <w:tcW w:w="5926" w:type="dxa"/>
            <w:vAlign w:val="center"/>
          </w:tcPr>
          <w:p w14:paraId="629514C0" w14:textId="77777777" w:rsidR="00FB30FA" w:rsidRPr="0005008D" w:rsidRDefault="00C81DB8" w:rsidP="00165C20">
            <w:pPr>
              <w:pStyle w:val="ListParagraph"/>
              <w:numPr>
                <w:ilvl w:val="0"/>
                <w:numId w:val="1"/>
              </w:numPr>
              <w:ind w:left="284" w:hanging="284"/>
              <w:rPr>
                <w:rFonts w:ascii="Arial" w:hAnsi="Arial" w:cs="Arial"/>
                <w:lang w:val="en-GB"/>
              </w:rPr>
            </w:pPr>
            <w:r w:rsidRPr="0005008D">
              <w:rPr>
                <w:rFonts w:ascii="Arial" w:hAnsi="Arial" w:cs="Arial"/>
                <w:lang w:val="en-GB"/>
              </w:rPr>
              <w:t>Learning from Complaints</w:t>
            </w:r>
          </w:p>
        </w:tc>
        <w:tc>
          <w:tcPr>
            <w:tcW w:w="3702" w:type="dxa"/>
            <w:vAlign w:val="center"/>
          </w:tcPr>
          <w:p w14:paraId="0C49EFCE" w14:textId="1EACCFE3" w:rsidR="00FB30FA" w:rsidRPr="0005008D" w:rsidRDefault="00F15D12" w:rsidP="00F7339C">
            <w:pPr>
              <w:rPr>
                <w:rFonts w:ascii="Arial" w:hAnsi="Arial" w:cs="Arial"/>
                <w:b/>
                <w:lang w:val="en-GB"/>
              </w:rPr>
            </w:pPr>
            <w:r>
              <w:rPr>
                <w:rFonts w:ascii="Arial" w:hAnsi="Arial" w:cs="Arial"/>
                <w:b/>
                <w:lang w:val="en-GB"/>
              </w:rPr>
              <w:t>13</w:t>
            </w:r>
          </w:p>
        </w:tc>
      </w:tr>
      <w:tr w:rsidR="00C81DB8" w:rsidRPr="004537C7" w14:paraId="0201FF21" w14:textId="77777777" w:rsidTr="00E36F1E">
        <w:trPr>
          <w:trHeight w:val="573"/>
        </w:trPr>
        <w:tc>
          <w:tcPr>
            <w:tcW w:w="5926" w:type="dxa"/>
            <w:vAlign w:val="center"/>
          </w:tcPr>
          <w:p w14:paraId="005D259D" w14:textId="69DE4747" w:rsidR="00C81DB8" w:rsidRPr="0005008D" w:rsidRDefault="00C81DB8" w:rsidP="00C81DB8">
            <w:pPr>
              <w:rPr>
                <w:rFonts w:ascii="Arial" w:hAnsi="Arial" w:cs="Arial"/>
                <w:lang w:val="en-GB"/>
              </w:rPr>
            </w:pPr>
            <w:r w:rsidRPr="00F15D12">
              <w:rPr>
                <w:rFonts w:ascii="Arial" w:hAnsi="Arial" w:cs="Arial"/>
                <w:b/>
                <w:bCs/>
                <w:lang w:val="en-GB"/>
              </w:rPr>
              <w:t>1</w:t>
            </w:r>
            <w:r w:rsidR="00F15D12" w:rsidRPr="00F15D12">
              <w:rPr>
                <w:rFonts w:ascii="Arial" w:hAnsi="Arial" w:cs="Arial"/>
                <w:b/>
                <w:bCs/>
                <w:lang w:val="en-GB"/>
              </w:rPr>
              <w:t>1</w:t>
            </w:r>
            <w:r w:rsidRPr="00F15D12">
              <w:rPr>
                <w:rFonts w:ascii="Arial" w:hAnsi="Arial" w:cs="Arial"/>
                <w:b/>
                <w:bCs/>
                <w:lang w:val="en-GB"/>
              </w:rPr>
              <w:t>.</w:t>
            </w:r>
            <w:r w:rsidRPr="0005008D">
              <w:rPr>
                <w:rFonts w:ascii="Arial" w:hAnsi="Arial" w:cs="Arial"/>
                <w:lang w:val="en-GB"/>
              </w:rPr>
              <w:t xml:space="preserve"> Looking Forward</w:t>
            </w:r>
          </w:p>
        </w:tc>
        <w:tc>
          <w:tcPr>
            <w:tcW w:w="3702" w:type="dxa"/>
            <w:vAlign w:val="center"/>
          </w:tcPr>
          <w:p w14:paraId="1078B69A" w14:textId="40456270" w:rsidR="00C81DB8" w:rsidRPr="0005008D" w:rsidRDefault="00F15D12" w:rsidP="00F7339C">
            <w:pPr>
              <w:rPr>
                <w:rFonts w:ascii="Arial" w:hAnsi="Arial" w:cs="Arial"/>
                <w:b/>
                <w:lang w:val="en-GB"/>
              </w:rPr>
            </w:pPr>
            <w:r>
              <w:rPr>
                <w:rFonts w:ascii="Arial" w:hAnsi="Arial" w:cs="Arial"/>
                <w:b/>
                <w:lang w:val="en-GB"/>
              </w:rPr>
              <w:t>16</w:t>
            </w:r>
          </w:p>
        </w:tc>
      </w:tr>
    </w:tbl>
    <w:p w14:paraId="21A533EB" w14:textId="77777777" w:rsidR="0078341A" w:rsidRPr="00452CE4" w:rsidRDefault="0078341A">
      <w:pPr>
        <w:rPr>
          <w:rFonts w:ascii="Arial" w:hAnsi="Arial" w:cs="Arial"/>
          <w:b/>
          <w:sz w:val="22"/>
          <w:szCs w:val="22"/>
          <w:lang w:val="en-GB"/>
        </w:rPr>
      </w:pPr>
    </w:p>
    <w:p w14:paraId="59C57A5F" w14:textId="1463324F" w:rsidR="00F7339C" w:rsidRDefault="00F7339C">
      <w:pPr>
        <w:rPr>
          <w:rFonts w:ascii="Arial" w:hAnsi="Arial" w:cs="Arial"/>
          <w:b/>
          <w:sz w:val="22"/>
          <w:szCs w:val="22"/>
          <w:lang w:val="en-GB"/>
        </w:rPr>
      </w:pPr>
    </w:p>
    <w:p w14:paraId="69003DAC" w14:textId="77777777" w:rsidR="00580C3E" w:rsidRDefault="00580C3E">
      <w:pPr>
        <w:rPr>
          <w:rFonts w:ascii="Arial" w:hAnsi="Arial" w:cs="Arial"/>
          <w:b/>
          <w:sz w:val="22"/>
          <w:szCs w:val="22"/>
          <w:lang w:val="en-GB"/>
        </w:rPr>
      </w:pPr>
    </w:p>
    <w:p w14:paraId="563C99C3" w14:textId="77777777" w:rsidR="00580C3E" w:rsidRDefault="00580C3E">
      <w:pPr>
        <w:rPr>
          <w:rFonts w:ascii="Arial" w:hAnsi="Arial" w:cs="Arial"/>
          <w:b/>
          <w:sz w:val="22"/>
          <w:szCs w:val="22"/>
          <w:lang w:val="en-GB"/>
        </w:rPr>
      </w:pPr>
    </w:p>
    <w:p w14:paraId="5270A6B3" w14:textId="77777777" w:rsidR="00580C3E" w:rsidRDefault="00580C3E">
      <w:pPr>
        <w:rPr>
          <w:rFonts w:ascii="Arial" w:hAnsi="Arial" w:cs="Arial"/>
          <w:b/>
          <w:sz w:val="22"/>
          <w:szCs w:val="22"/>
          <w:lang w:val="en-GB"/>
        </w:rPr>
      </w:pPr>
    </w:p>
    <w:p w14:paraId="1D369045" w14:textId="77777777" w:rsidR="00580C3E" w:rsidRDefault="00580C3E">
      <w:pPr>
        <w:rPr>
          <w:rFonts w:ascii="Arial" w:hAnsi="Arial" w:cs="Arial"/>
          <w:b/>
          <w:sz w:val="22"/>
          <w:szCs w:val="22"/>
          <w:lang w:val="en-GB"/>
        </w:rPr>
      </w:pPr>
    </w:p>
    <w:p w14:paraId="062ED7A8" w14:textId="77777777" w:rsidR="00580C3E" w:rsidRDefault="00580C3E">
      <w:pPr>
        <w:rPr>
          <w:rFonts w:ascii="Arial" w:hAnsi="Arial" w:cs="Arial"/>
          <w:b/>
          <w:sz w:val="22"/>
          <w:szCs w:val="22"/>
          <w:lang w:val="en-GB"/>
        </w:rPr>
      </w:pPr>
    </w:p>
    <w:p w14:paraId="6D1AD920" w14:textId="77777777" w:rsidR="00580C3E" w:rsidRDefault="00580C3E">
      <w:pPr>
        <w:rPr>
          <w:rFonts w:ascii="Arial" w:hAnsi="Arial" w:cs="Arial"/>
          <w:b/>
          <w:sz w:val="22"/>
          <w:szCs w:val="22"/>
          <w:lang w:val="en-GB"/>
        </w:rPr>
      </w:pPr>
    </w:p>
    <w:p w14:paraId="73D5E763" w14:textId="77777777" w:rsidR="00580C3E" w:rsidRDefault="00580C3E">
      <w:pPr>
        <w:rPr>
          <w:rFonts w:ascii="Arial" w:hAnsi="Arial" w:cs="Arial"/>
          <w:b/>
          <w:sz w:val="22"/>
          <w:szCs w:val="22"/>
          <w:lang w:val="en-GB"/>
        </w:rPr>
      </w:pPr>
    </w:p>
    <w:p w14:paraId="4AEA9D8A" w14:textId="77777777" w:rsidR="00580C3E" w:rsidRDefault="00580C3E">
      <w:pPr>
        <w:rPr>
          <w:rFonts w:ascii="Arial" w:hAnsi="Arial" w:cs="Arial"/>
          <w:b/>
          <w:sz w:val="22"/>
          <w:szCs w:val="22"/>
          <w:lang w:val="en-GB"/>
        </w:rPr>
      </w:pPr>
    </w:p>
    <w:p w14:paraId="1E8ACF79" w14:textId="77777777" w:rsidR="00580C3E" w:rsidRDefault="00580C3E">
      <w:pPr>
        <w:rPr>
          <w:rFonts w:ascii="Arial" w:hAnsi="Arial" w:cs="Arial"/>
          <w:b/>
          <w:sz w:val="22"/>
          <w:szCs w:val="22"/>
          <w:lang w:val="en-GB"/>
        </w:rPr>
      </w:pPr>
    </w:p>
    <w:p w14:paraId="70E38ECD" w14:textId="77777777" w:rsidR="00580C3E" w:rsidRDefault="00580C3E">
      <w:pPr>
        <w:rPr>
          <w:rFonts w:ascii="Arial" w:hAnsi="Arial" w:cs="Arial"/>
          <w:b/>
          <w:sz w:val="22"/>
          <w:szCs w:val="22"/>
          <w:lang w:val="en-GB"/>
        </w:rPr>
      </w:pPr>
    </w:p>
    <w:p w14:paraId="0C071287" w14:textId="77777777" w:rsidR="00580C3E" w:rsidRDefault="00580C3E">
      <w:pPr>
        <w:rPr>
          <w:rFonts w:ascii="Arial" w:hAnsi="Arial" w:cs="Arial"/>
          <w:b/>
          <w:sz w:val="22"/>
          <w:szCs w:val="22"/>
          <w:lang w:val="en-GB"/>
        </w:rPr>
      </w:pPr>
    </w:p>
    <w:p w14:paraId="73DA5A1C" w14:textId="77777777" w:rsidR="00580C3E" w:rsidRDefault="00580C3E">
      <w:pPr>
        <w:rPr>
          <w:rFonts w:ascii="Arial" w:hAnsi="Arial" w:cs="Arial"/>
          <w:b/>
          <w:sz w:val="22"/>
          <w:szCs w:val="22"/>
          <w:lang w:val="en-GB"/>
        </w:rPr>
      </w:pPr>
    </w:p>
    <w:p w14:paraId="4FA8DD09" w14:textId="77777777" w:rsidR="00580C3E" w:rsidRDefault="00580C3E">
      <w:pPr>
        <w:rPr>
          <w:rFonts w:ascii="Arial" w:hAnsi="Arial" w:cs="Arial"/>
          <w:b/>
          <w:sz w:val="22"/>
          <w:szCs w:val="22"/>
          <w:lang w:val="en-GB"/>
        </w:rPr>
      </w:pPr>
    </w:p>
    <w:p w14:paraId="26FF9386" w14:textId="77777777" w:rsidR="00580C3E" w:rsidRDefault="00580C3E">
      <w:pPr>
        <w:rPr>
          <w:rFonts w:ascii="Arial" w:hAnsi="Arial" w:cs="Arial"/>
          <w:b/>
          <w:sz w:val="22"/>
          <w:szCs w:val="22"/>
          <w:lang w:val="en-GB"/>
        </w:rPr>
      </w:pPr>
    </w:p>
    <w:p w14:paraId="5186248D" w14:textId="77777777" w:rsidR="00580C3E" w:rsidRDefault="00580C3E">
      <w:pPr>
        <w:rPr>
          <w:rFonts w:ascii="Arial" w:hAnsi="Arial" w:cs="Arial"/>
          <w:b/>
          <w:sz w:val="22"/>
          <w:szCs w:val="22"/>
          <w:lang w:val="en-GB"/>
        </w:rPr>
      </w:pPr>
    </w:p>
    <w:p w14:paraId="6B9AA76F" w14:textId="77777777" w:rsidR="00580C3E" w:rsidRDefault="00580C3E">
      <w:pPr>
        <w:rPr>
          <w:rFonts w:ascii="Arial" w:hAnsi="Arial" w:cs="Arial"/>
          <w:b/>
          <w:sz w:val="22"/>
          <w:szCs w:val="22"/>
          <w:lang w:val="en-GB"/>
        </w:rPr>
      </w:pPr>
    </w:p>
    <w:p w14:paraId="1CF3EDDD" w14:textId="77777777" w:rsidR="00580C3E" w:rsidRDefault="00580C3E">
      <w:pPr>
        <w:rPr>
          <w:rFonts w:ascii="Arial" w:hAnsi="Arial" w:cs="Arial"/>
          <w:b/>
          <w:sz w:val="22"/>
          <w:szCs w:val="22"/>
          <w:lang w:val="en-GB"/>
        </w:rPr>
      </w:pPr>
    </w:p>
    <w:p w14:paraId="70AB7A76" w14:textId="77777777" w:rsidR="00580C3E" w:rsidRPr="00452CE4" w:rsidRDefault="00580C3E">
      <w:pPr>
        <w:rPr>
          <w:rFonts w:ascii="Arial" w:hAnsi="Arial" w:cs="Arial"/>
          <w:b/>
          <w:sz w:val="22"/>
          <w:szCs w:val="22"/>
          <w:lang w:val="en-GB"/>
        </w:rPr>
      </w:pPr>
    </w:p>
    <w:p w14:paraId="07F473C8" w14:textId="77777777" w:rsidR="0036353C" w:rsidRPr="00452CE4" w:rsidRDefault="0036353C" w:rsidP="0036353C">
      <w:pPr>
        <w:jc w:val="center"/>
        <w:rPr>
          <w:rFonts w:ascii="Arial" w:hAnsi="Arial" w:cs="Arial"/>
          <w:b/>
          <w:sz w:val="22"/>
          <w:szCs w:val="22"/>
          <w:u w:val="single"/>
          <w:lang w:val="en-GB"/>
        </w:rPr>
      </w:pPr>
    </w:p>
    <w:p w14:paraId="480A729B" w14:textId="77777777" w:rsidR="0036353C" w:rsidRPr="00452CE4" w:rsidRDefault="0036353C" w:rsidP="0036353C">
      <w:pPr>
        <w:jc w:val="center"/>
        <w:rPr>
          <w:rFonts w:ascii="Arial" w:hAnsi="Arial" w:cs="Arial"/>
          <w:b/>
          <w:sz w:val="22"/>
          <w:szCs w:val="22"/>
          <w:u w:val="single"/>
          <w:lang w:val="en-GB"/>
        </w:rPr>
      </w:pPr>
    </w:p>
    <w:p w14:paraId="53DB91EE" w14:textId="77777777" w:rsidR="00F7339C" w:rsidRPr="00452CE4" w:rsidRDefault="00F7339C" w:rsidP="0036353C">
      <w:pPr>
        <w:jc w:val="center"/>
        <w:rPr>
          <w:rFonts w:ascii="Arial" w:hAnsi="Arial" w:cs="Arial"/>
          <w:b/>
          <w:sz w:val="22"/>
          <w:szCs w:val="22"/>
          <w:u w:val="single"/>
          <w:lang w:val="en-GB"/>
        </w:rPr>
      </w:pPr>
      <w:r w:rsidRPr="00452CE4">
        <w:rPr>
          <w:rFonts w:ascii="Arial" w:hAnsi="Arial" w:cs="Arial"/>
          <w:b/>
          <w:sz w:val="22"/>
          <w:szCs w:val="22"/>
          <w:u w:val="single"/>
          <w:lang w:val="en-GB"/>
        </w:rPr>
        <w:t>Executive summary</w:t>
      </w:r>
    </w:p>
    <w:p w14:paraId="297A2756" w14:textId="77777777" w:rsidR="0036353C" w:rsidRPr="00452CE4" w:rsidRDefault="0036353C" w:rsidP="0036353C">
      <w:pPr>
        <w:jc w:val="center"/>
        <w:rPr>
          <w:rFonts w:ascii="Arial" w:hAnsi="Arial" w:cs="Arial"/>
          <w:b/>
          <w:sz w:val="22"/>
          <w:szCs w:val="22"/>
          <w:u w:val="single"/>
          <w:lang w:val="en-GB"/>
        </w:rPr>
      </w:pPr>
    </w:p>
    <w:p w14:paraId="4E43D9D8" w14:textId="77777777" w:rsidR="009F7A46" w:rsidRPr="00452CE4" w:rsidRDefault="009F7A46">
      <w:pPr>
        <w:rPr>
          <w:rFonts w:ascii="Arial" w:hAnsi="Arial" w:cs="Arial"/>
          <w:b/>
          <w:sz w:val="22"/>
          <w:szCs w:val="22"/>
          <w:lang w:val="en-GB"/>
        </w:rPr>
      </w:pPr>
    </w:p>
    <w:p w14:paraId="1C0917E0" w14:textId="4B3CD7BA" w:rsidR="00F7339C" w:rsidRPr="00382EBF" w:rsidRDefault="00F7339C">
      <w:pPr>
        <w:rPr>
          <w:rFonts w:ascii="Arial" w:hAnsi="Arial" w:cs="Arial"/>
          <w:sz w:val="22"/>
          <w:szCs w:val="22"/>
          <w:lang w:val="en-GB"/>
        </w:rPr>
      </w:pPr>
      <w:r w:rsidRPr="00382EBF">
        <w:rPr>
          <w:rFonts w:ascii="Arial" w:hAnsi="Arial" w:cs="Arial"/>
          <w:sz w:val="22"/>
          <w:szCs w:val="22"/>
          <w:lang w:val="en-GB"/>
        </w:rPr>
        <w:t>In accordance with the NHS Complaints Regulations (2009) this report sets out a detailed analysis of the number and nature of complaints received by Gloucestershire Hospitals NHS Fou</w:t>
      </w:r>
      <w:r w:rsidR="00D948DE" w:rsidRPr="00382EBF">
        <w:rPr>
          <w:rFonts w:ascii="Arial" w:hAnsi="Arial" w:cs="Arial"/>
          <w:sz w:val="22"/>
          <w:szCs w:val="22"/>
          <w:lang w:val="en-GB"/>
        </w:rPr>
        <w:t xml:space="preserve">ndation Trust during the </w:t>
      </w:r>
      <w:r w:rsidR="00F020EB" w:rsidRPr="00382EBF">
        <w:rPr>
          <w:rFonts w:ascii="Arial" w:hAnsi="Arial" w:cs="Arial"/>
          <w:sz w:val="22"/>
          <w:szCs w:val="22"/>
          <w:lang w:val="en-GB"/>
        </w:rPr>
        <w:t>2</w:t>
      </w:r>
      <w:r w:rsidR="00195FC5" w:rsidRPr="00382EBF">
        <w:rPr>
          <w:rFonts w:ascii="Arial" w:hAnsi="Arial" w:cs="Arial"/>
          <w:sz w:val="22"/>
          <w:szCs w:val="22"/>
          <w:lang w:val="en-GB"/>
        </w:rPr>
        <w:t>02</w:t>
      </w:r>
      <w:r w:rsidR="000C0BDF">
        <w:rPr>
          <w:rFonts w:ascii="Arial" w:hAnsi="Arial" w:cs="Arial"/>
          <w:sz w:val="22"/>
          <w:szCs w:val="22"/>
          <w:lang w:val="en-GB"/>
        </w:rPr>
        <w:t>4</w:t>
      </w:r>
      <w:r w:rsidR="00195FC5" w:rsidRPr="00382EBF">
        <w:rPr>
          <w:rFonts w:ascii="Arial" w:hAnsi="Arial" w:cs="Arial"/>
          <w:sz w:val="22"/>
          <w:szCs w:val="22"/>
          <w:lang w:val="en-GB"/>
        </w:rPr>
        <w:t>/202</w:t>
      </w:r>
      <w:r w:rsidR="000C0BDF">
        <w:rPr>
          <w:rFonts w:ascii="Arial" w:hAnsi="Arial" w:cs="Arial"/>
          <w:sz w:val="22"/>
          <w:szCs w:val="22"/>
          <w:lang w:val="en-GB"/>
        </w:rPr>
        <w:t>5</w:t>
      </w:r>
      <w:r w:rsidR="00C12212" w:rsidRPr="00382EBF">
        <w:rPr>
          <w:rFonts w:ascii="Arial" w:hAnsi="Arial" w:cs="Arial"/>
          <w:sz w:val="22"/>
          <w:szCs w:val="22"/>
          <w:lang w:val="en-GB"/>
        </w:rPr>
        <w:t xml:space="preserve"> financial</w:t>
      </w:r>
      <w:r w:rsidRPr="00382EBF">
        <w:rPr>
          <w:rFonts w:ascii="Arial" w:hAnsi="Arial" w:cs="Arial"/>
          <w:sz w:val="22"/>
          <w:szCs w:val="22"/>
          <w:lang w:val="en-GB"/>
        </w:rPr>
        <w:t xml:space="preserve"> year.</w:t>
      </w:r>
    </w:p>
    <w:p w14:paraId="23E5AF23" w14:textId="77777777" w:rsidR="0036353C" w:rsidRPr="00382EBF" w:rsidRDefault="0036353C">
      <w:pPr>
        <w:rPr>
          <w:rFonts w:ascii="Arial" w:hAnsi="Arial" w:cs="Arial"/>
          <w:sz w:val="22"/>
          <w:szCs w:val="22"/>
          <w:lang w:val="en-GB"/>
        </w:rPr>
      </w:pPr>
    </w:p>
    <w:p w14:paraId="3D7CA57C" w14:textId="77777777" w:rsidR="00F7339C" w:rsidRPr="00382EBF" w:rsidRDefault="00F7339C">
      <w:pPr>
        <w:rPr>
          <w:rFonts w:ascii="Arial" w:hAnsi="Arial" w:cs="Arial"/>
          <w:sz w:val="22"/>
          <w:szCs w:val="22"/>
          <w:lang w:val="en-GB"/>
        </w:rPr>
      </w:pPr>
      <w:r w:rsidRPr="00382EBF">
        <w:rPr>
          <w:rFonts w:ascii="Arial" w:hAnsi="Arial" w:cs="Arial"/>
          <w:sz w:val="22"/>
          <w:szCs w:val="22"/>
          <w:lang w:val="en-GB"/>
        </w:rPr>
        <w:t>In summary:</w:t>
      </w:r>
    </w:p>
    <w:p w14:paraId="71E562BB" w14:textId="77777777" w:rsidR="0019112D" w:rsidRPr="00382EBF" w:rsidRDefault="0019112D">
      <w:pPr>
        <w:rPr>
          <w:rFonts w:ascii="Arial" w:hAnsi="Arial" w:cs="Arial"/>
          <w:sz w:val="22"/>
          <w:szCs w:val="22"/>
          <w:lang w:val="en-GB"/>
        </w:rPr>
      </w:pPr>
    </w:p>
    <w:p w14:paraId="0809943A" w14:textId="0B9E267A" w:rsidR="009A5A42" w:rsidRPr="00382EBF" w:rsidRDefault="00FC742E" w:rsidP="00165C20">
      <w:pPr>
        <w:pStyle w:val="ListParagraph"/>
        <w:numPr>
          <w:ilvl w:val="0"/>
          <w:numId w:val="2"/>
        </w:numPr>
        <w:spacing w:after="120"/>
        <w:ind w:left="714" w:hanging="357"/>
        <w:jc w:val="both"/>
        <w:rPr>
          <w:rFonts w:ascii="Arial" w:hAnsi="Arial" w:cs="Arial"/>
          <w:sz w:val="22"/>
          <w:szCs w:val="22"/>
          <w:lang w:val="en-GB"/>
        </w:rPr>
      </w:pPr>
      <w:bookmarkStart w:id="0" w:name="_Hlk145073643"/>
      <w:r w:rsidRPr="00382EBF">
        <w:rPr>
          <w:rFonts w:ascii="Arial" w:hAnsi="Arial" w:cs="Arial"/>
          <w:sz w:val="22"/>
          <w:szCs w:val="22"/>
          <w:lang w:val="en-GB"/>
        </w:rPr>
        <w:t>10</w:t>
      </w:r>
      <w:r w:rsidR="008E4A7A" w:rsidRPr="00382EBF">
        <w:rPr>
          <w:rFonts w:ascii="Arial" w:hAnsi="Arial" w:cs="Arial"/>
          <w:sz w:val="22"/>
          <w:szCs w:val="22"/>
          <w:lang w:val="en-GB"/>
        </w:rPr>
        <w:t>75</w:t>
      </w:r>
      <w:r w:rsidR="00F7339C" w:rsidRPr="00382EBF">
        <w:rPr>
          <w:rFonts w:ascii="Arial" w:hAnsi="Arial" w:cs="Arial"/>
          <w:sz w:val="22"/>
          <w:szCs w:val="22"/>
          <w:lang w:val="en-GB"/>
        </w:rPr>
        <w:t xml:space="preserve"> complaints were rece</w:t>
      </w:r>
      <w:r w:rsidR="00195FC5" w:rsidRPr="00382EBF">
        <w:rPr>
          <w:rFonts w:ascii="Arial" w:hAnsi="Arial" w:cs="Arial"/>
          <w:sz w:val="22"/>
          <w:szCs w:val="22"/>
          <w:lang w:val="en-GB"/>
        </w:rPr>
        <w:t>ived by the Trust during 20</w:t>
      </w:r>
      <w:r w:rsidR="00C12212" w:rsidRPr="00382EBF">
        <w:rPr>
          <w:rFonts w:ascii="Arial" w:hAnsi="Arial" w:cs="Arial"/>
          <w:sz w:val="22"/>
          <w:szCs w:val="22"/>
          <w:lang w:val="en-GB"/>
        </w:rPr>
        <w:t>2</w:t>
      </w:r>
      <w:r w:rsidR="00042099" w:rsidRPr="00382EBF">
        <w:rPr>
          <w:rFonts w:ascii="Arial" w:hAnsi="Arial" w:cs="Arial"/>
          <w:sz w:val="22"/>
          <w:szCs w:val="22"/>
          <w:lang w:val="en-GB"/>
        </w:rPr>
        <w:t>4/2025</w:t>
      </w:r>
      <w:r w:rsidR="00195FC5" w:rsidRPr="00382EBF">
        <w:rPr>
          <w:rFonts w:ascii="Arial" w:hAnsi="Arial" w:cs="Arial"/>
          <w:sz w:val="22"/>
          <w:szCs w:val="22"/>
          <w:lang w:val="en-GB"/>
        </w:rPr>
        <w:t xml:space="preserve"> giving an average of </w:t>
      </w:r>
      <w:r w:rsidR="00042099" w:rsidRPr="00382EBF">
        <w:rPr>
          <w:rFonts w:ascii="Arial" w:hAnsi="Arial" w:cs="Arial"/>
          <w:sz w:val="22"/>
          <w:szCs w:val="22"/>
          <w:lang w:val="en-GB"/>
        </w:rPr>
        <w:t>89.</w:t>
      </w:r>
      <w:r w:rsidRPr="00382EBF">
        <w:rPr>
          <w:rFonts w:ascii="Arial" w:hAnsi="Arial" w:cs="Arial"/>
          <w:sz w:val="22"/>
          <w:szCs w:val="22"/>
          <w:lang w:val="en-GB"/>
        </w:rPr>
        <w:t>5</w:t>
      </w:r>
      <w:r w:rsidR="00195FC5" w:rsidRPr="00382EBF">
        <w:rPr>
          <w:rFonts w:ascii="Arial" w:hAnsi="Arial" w:cs="Arial"/>
          <w:sz w:val="22"/>
          <w:szCs w:val="22"/>
          <w:lang w:val="en-GB"/>
        </w:rPr>
        <w:t xml:space="preserve"> </w:t>
      </w:r>
      <w:r w:rsidR="00D948DE" w:rsidRPr="00382EBF">
        <w:rPr>
          <w:rFonts w:ascii="Arial" w:hAnsi="Arial" w:cs="Arial"/>
          <w:sz w:val="22"/>
          <w:szCs w:val="22"/>
          <w:lang w:val="en-GB"/>
        </w:rPr>
        <w:t>complaints per mo</w:t>
      </w:r>
      <w:r w:rsidR="009A5A42" w:rsidRPr="00382EBF">
        <w:rPr>
          <w:rFonts w:ascii="Arial" w:hAnsi="Arial" w:cs="Arial"/>
          <w:sz w:val="22"/>
          <w:szCs w:val="22"/>
          <w:lang w:val="en-GB"/>
        </w:rPr>
        <w:t>nth. This num</w:t>
      </w:r>
      <w:r w:rsidR="00195FC5" w:rsidRPr="00382EBF">
        <w:rPr>
          <w:rFonts w:ascii="Arial" w:hAnsi="Arial" w:cs="Arial"/>
          <w:sz w:val="22"/>
          <w:szCs w:val="22"/>
          <w:lang w:val="en-GB"/>
        </w:rPr>
        <w:t xml:space="preserve">ber compares to </w:t>
      </w:r>
      <w:r w:rsidR="008E4A7A" w:rsidRPr="00382EBF">
        <w:rPr>
          <w:rFonts w:ascii="Arial" w:hAnsi="Arial" w:cs="Arial"/>
          <w:sz w:val="22"/>
          <w:szCs w:val="22"/>
          <w:lang w:val="en-GB"/>
        </w:rPr>
        <w:t>1087</w:t>
      </w:r>
      <w:r w:rsidR="00117D49" w:rsidRPr="00382EBF">
        <w:rPr>
          <w:rFonts w:ascii="Arial" w:hAnsi="Arial" w:cs="Arial"/>
          <w:sz w:val="22"/>
          <w:szCs w:val="22"/>
          <w:lang w:val="en-GB"/>
        </w:rPr>
        <w:t xml:space="preserve"> </w:t>
      </w:r>
      <w:r w:rsidR="00195FC5" w:rsidRPr="00382EBF">
        <w:rPr>
          <w:rFonts w:ascii="Arial" w:hAnsi="Arial" w:cs="Arial"/>
          <w:sz w:val="22"/>
          <w:szCs w:val="22"/>
          <w:lang w:val="en-GB"/>
        </w:rPr>
        <w:t>during 20</w:t>
      </w:r>
      <w:r w:rsidR="00C12212" w:rsidRPr="00382EBF">
        <w:rPr>
          <w:rFonts w:ascii="Arial" w:hAnsi="Arial" w:cs="Arial"/>
          <w:sz w:val="22"/>
          <w:szCs w:val="22"/>
          <w:lang w:val="en-GB"/>
        </w:rPr>
        <w:t>2</w:t>
      </w:r>
      <w:r w:rsidR="00DD2551" w:rsidRPr="00382EBF">
        <w:rPr>
          <w:rFonts w:ascii="Arial" w:hAnsi="Arial" w:cs="Arial"/>
          <w:sz w:val="22"/>
          <w:szCs w:val="22"/>
          <w:lang w:val="en-GB"/>
        </w:rPr>
        <w:t>3/2024</w:t>
      </w:r>
      <w:r w:rsidR="0036353C" w:rsidRPr="00382EBF">
        <w:rPr>
          <w:rFonts w:ascii="Arial" w:hAnsi="Arial" w:cs="Arial"/>
          <w:sz w:val="22"/>
          <w:szCs w:val="22"/>
          <w:lang w:val="en-GB"/>
        </w:rPr>
        <w:t xml:space="preserve">; </w:t>
      </w:r>
      <w:r w:rsidR="00A44CEB" w:rsidRPr="00382EBF">
        <w:rPr>
          <w:rFonts w:ascii="Arial" w:hAnsi="Arial" w:cs="Arial"/>
          <w:sz w:val="22"/>
          <w:szCs w:val="22"/>
          <w:lang w:val="en-GB"/>
        </w:rPr>
        <w:t>a</w:t>
      </w:r>
      <w:r w:rsidR="00ED4DE1" w:rsidRPr="00382EBF">
        <w:rPr>
          <w:rFonts w:ascii="Arial" w:hAnsi="Arial" w:cs="Arial"/>
          <w:sz w:val="22"/>
          <w:szCs w:val="22"/>
          <w:lang w:val="en-GB"/>
        </w:rPr>
        <w:t>n average</w:t>
      </w:r>
      <w:r w:rsidR="009A5A42" w:rsidRPr="00382EBF">
        <w:rPr>
          <w:rFonts w:ascii="Arial" w:hAnsi="Arial" w:cs="Arial"/>
          <w:b/>
          <w:color w:val="FF0000"/>
          <w:sz w:val="22"/>
          <w:szCs w:val="22"/>
          <w:lang w:val="en-GB"/>
        </w:rPr>
        <w:t xml:space="preserve"> </w:t>
      </w:r>
      <w:r w:rsidR="00C12212" w:rsidRPr="00382EBF">
        <w:rPr>
          <w:rFonts w:ascii="Arial" w:hAnsi="Arial" w:cs="Arial"/>
          <w:sz w:val="22"/>
          <w:szCs w:val="22"/>
          <w:lang w:val="en-GB"/>
        </w:rPr>
        <w:t>in</w:t>
      </w:r>
      <w:r w:rsidR="009A5A42" w:rsidRPr="00382EBF">
        <w:rPr>
          <w:rFonts w:ascii="Arial" w:hAnsi="Arial" w:cs="Arial"/>
          <w:sz w:val="22"/>
          <w:szCs w:val="22"/>
          <w:lang w:val="en-GB"/>
        </w:rPr>
        <w:t xml:space="preserve">crease </w:t>
      </w:r>
      <w:r w:rsidR="00ED4DE1" w:rsidRPr="00382EBF">
        <w:rPr>
          <w:rFonts w:ascii="Arial" w:hAnsi="Arial" w:cs="Arial"/>
          <w:sz w:val="22"/>
          <w:szCs w:val="22"/>
          <w:lang w:val="en-GB"/>
        </w:rPr>
        <w:t xml:space="preserve">of </w:t>
      </w:r>
      <w:r w:rsidR="0066392B" w:rsidRPr="00382EBF">
        <w:rPr>
          <w:rFonts w:ascii="Arial" w:hAnsi="Arial" w:cs="Arial"/>
          <w:sz w:val="22"/>
          <w:szCs w:val="22"/>
          <w:lang w:val="en-GB"/>
        </w:rPr>
        <w:t xml:space="preserve">1 </w:t>
      </w:r>
      <w:r w:rsidR="00ED4DE1" w:rsidRPr="00382EBF">
        <w:rPr>
          <w:rFonts w:ascii="Arial" w:hAnsi="Arial" w:cs="Arial"/>
          <w:sz w:val="22"/>
          <w:szCs w:val="22"/>
          <w:lang w:val="en-GB"/>
        </w:rPr>
        <w:t>complaint per month.</w:t>
      </w:r>
    </w:p>
    <w:bookmarkEnd w:id="0"/>
    <w:p w14:paraId="728824F2" w14:textId="77777777" w:rsidR="00ED4DE1" w:rsidRPr="00382EBF" w:rsidRDefault="00ED4DE1" w:rsidP="00ED4DE1">
      <w:pPr>
        <w:pStyle w:val="ListParagraph"/>
        <w:spacing w:after="120"/>
        <w:ind w:left="714"/>
        <w:jc w:val="both"/>
        <w:rPr>
          <w:rFonts w:ascii="Arial" w:hAnsi="Arial" w:cs="Arial"/>
          <w:sz w:val="22"/>
          <w:szCs w:val="22"/>
          <w:lang w:val="en-GB"/>
        </w:rPr>
      </w:pPr>
    </w:p>
    <w:p w14:paraId="6BFE5ABD" w14:textId="61306664" w:rsidR="00D17C8D" w:rsidRPr="00382EBF" w:rsidRDefault="00F125F3" w:rsidP="00165C20">
      <w:pPr>
        <w:pStyle w:val="ListParagraph"/>
        <w:numPr>
          <w:ilvl w:val="0"/>
          <w:numId w:val="2"/>
        </w:numPr>
        <w:jc w:val="both"/>
        <w:rPr>
          <w:rFonts w:ascii="Arial" w:hAnsi="Arial" w:cs="Arial"/>
          <w:sz w:val="22"/>
          <w:szCs w:val="22"/>
          <w:lang w:val="en-GB"/>
        </w:rPr>
      </w:pPr>
      <w:r w:rsidRPr="00382EBF">
        <w:rPr>
          <w:rFonts w:ascii="Arial" w:hAnsi="Arial" w:cs="Arial"/>
          <w:sz w:val="22"/>
          <w:szCs w:val="22"/>
          <w:lang w:val="en-GB"/>
        </w:rPr>
        <w:t>9</w:t>
      </w:r>
      <w:r w:rsidR="00FC742E" w:rsidRPr="00382EBF">
        <w:rPr>
          <w:rFonts w:ascii="Arial" w:hAnsi="Arial" w:cs="Arial"/>
          <w:sz w:val="22"/>
          <w:szCs w:val="22"/>
          <w:lang w:val="en-GB"/>
        </w:rPr>
        <w:t>4</w:t>
      </w:r>
      <w:r w:rsidR="00D17C8D" w:rsidRPr="00382EBF">
        <w:rPr>
          <w:rFonts w:ascii="Arial" w:hAnsi="Arial" w:cs="Arial"/>
          <w:sz w:val="22"/>
          <w:szCs w:val="22"/>
          <w:lang w:val="en-GB"/>
        </w:rPr>
        <w:t xml:space="preserve">% of the time, </w:t>
      </w:r>
      <w:r w:rsidR="001E411A" w:rsidRPr="00382EBF">
        <w:rPr>
          <w:rFonts w:ascii="Arial" w:hAnsi="Arial" w:cs="Arial"/>
          <w:sz w:val="22"/>
          <w:szCs w:val="22"/>
          <w:lang w:val="en-GB"/>
        </w:rPr>
        <w:t>acknowledgements were sent within the national target of 3 days.</w:t>
      </w:r>
      <w:r w:rsidR="00D17C8D" w:rsidRPr="00382EBF">
        <w:rPr>
          <w:rFonts w:ascii="Arial" w:hAnsi="Arial" w:cs="Arial"/>
          <w:sz w:val="22"/>
          <w:szCs w:val="22"/>
          <w:lang w:val="en-GB"/>
        </w:rPr>
        <w:t xml:space="preserve"> 100% was </w:t>
      </w:r>
      <w:r w:rsidR="009056B9" w:rsidRPr="00382EBF">
        <w:rPr>
          <w:rFonts w:ascii="Arial" w:hAnsi="Arial" w:cs="Arial"/>
          <w:sz w:val="22"/>
          <w:szCs w:val="22"/>
          <w:lang w:val="en-GB"/>
        </w:rPr>
        <w:t xml:space="preserve">not </w:t>
      </w:r>
      <w:r w:rsidR="0036353C" w:rsidRPr="00382EBF">
        <w:rPr>
          <w:rFonts w:ascii="Arial" w:hAnsi="Arial" w:cs="Arial"/>
          <w:sz w:val="22"/>
          <w:szCs w:val="22"/>
          <w:lang w:val="en-GB"/>
        </w:rPr>
        <w:t>a</w:t>
      </w:r>
      <w:r w:rsidR="00D17C8D" w:rsidRPr="00382EBF">
        <w:rPr>
          <w:rFonts w:ascii="Arial" w:hAnsi="Arial" w:cs="Arial"/>
          <w:sz w:val="22"/>
          <w:szCs w:val="22"/>
          <w:lang w:val="en-GB"/>
        </w:rPr>
        <w:t>chieved due to administrative pressures within the complaints team. A generic automatic email response</w:t>
      </w:r>
      <w:r w:rsidR="00ED4DE1" w:rsidRPr="00382EBF">
        <w:rPr>
          <w:rFonts w:ascii="Arial" w:hAnsi="Arial" w:cs="Arial"/>
          <w:sz w:val="22"/>
          <w:szCs w:val="22"/>
          <w:lang w:val="en-GB"/>
        </w:rPr>
        <w:t xml:space="preserve"> </w:t>
      </w:r>
      <w:r w:rsidR="004954E1" w:rsidRPr="00382EBF">
        <w:rPr>
          <w:rFonts w:ascii="Arial" w:hAnsi="Arial" w:cs="Arial"/>
          <w:sz w:val="22"/>
          <w:szCs w:val="22"/>
          <w:lang w:val="en-GB"/>
        </w:rPr>
        <w:t>is in place.</w:t>
      </w:r>
    </w:p>
    <w:p w14:paraId="17EBE432" w14:textId="77777777" w:rsidR="00973C4E" w:rsidRPr="00772AC8" w:rsidRDefault="00973C4E" w:rsidP="009A5A42">
      <w:pPr>
        <w:pStyle w:val="ListParagraph"/>
        <w:jc w:val="both"/>
        <w:rPr>
          <w:rFonts w:ascii="Arial" w:hAnsi="Arial" w:cs="Arial"/>
          <w:sz w:val="22"/>
          <w:szCs w:val="22"/>
          <w:highlight w:val="yellow"/>
          <w:lang w:val="en-GB"/>
        </w:rPr>
      </w:pPr>
    </w:p>
    <w:p w14:paraId="45E43712" w14:textId="11B5EB91" w:rsidR="00382EBF" w:rsidRPr="000C0BDF" w:rsidRDefault="00CA748B" w:rsidP="004D49B6">
      <w:pPr>
        <w:pStyle w:val="ListParagraph"/>
        <w:numPr>
          <w:ilvl w:val="0"/>
          <w:numId w:val="2"/>
        </w:numPr>
        <w:jc w:val="both"/>
        <w:rPr>
          <w:rFonts w:ascii="Arial" w:hAnsi="Arial" w:cs="Arial"/>
          <w:sz w:val="22"/>
          <w:szCs w:val="22"/>
          <w:lang w:val="en-GB"/>
        </w:rPr>
      </w:pPr>
      <w:r w:rsidRPr="00580C3E">
        <w:rPr>
          <w:rFonts w:ascii="Arial" w:hAnsi="Arial" w:cs="Arial"/>
          <w:sz w:val="22"/>
          <w:szCs w:val="22"/>
          <w:lang w:val="en-GB"/>
        </w:rPr>
        <w:t>1</w:t>
      </w:r>
      <w:r w:rsidR="00901AC2" w:rsidRPr="00580C3E">
        <w:rPr>
          <w:rFonts w:ascii="Arial" w:hAnsi="Arial" w:cs="Arial"/>
          <w:sz w:val="22"/>
          <w:szCs w:val="22"/>
          <w:lang w:val="en-GB"/>
        </w:rPr>
        <w:t>3</w:t>
      </w:r>
      <w:r w:rsidR="00C12212" w:rsidRPr="00580C3E">
        <w:rPr>
          <w:rFonts w:ascii="Arial" w:hAnsi="Arial" w:cs="Arial"/>
          <w:sz w:val="22"/>
          <w:szCs w:val="22"/>
          <w:lang w:val="en-GB"/>
        </w:rPr>
        <w:t>% of</w:t>
      </w:r>
      <w:r w:rsidR="00D17C8D" w:rsidRPr="00580C3E">
        <w:rPr>
          <w:rFonts w:ascii="Arial" w:hAnsi="Arial" w:cs="Arial"/>
          <w:sz w:val="22"/>
          <w:szCs w:val="22"/>
          <w:lang w:val="en-GB"/>
        </w:rPr>
        <w:t xml:space="preserve"> responses were sent</w:t>
      </w:r>
      <w:r w:rsidR="00853DBF" w:rsidRPr="00580C3E">
        <w:rPr>
          <w:rFonts w:ascii="Arial" w:hAnsi="Arial" w:cs="Arial"/>
          <w:sz w:val="22"/>
          <w:szCs w:val="22"/>
          <w:lang w:val="en-GB"/>
        </w:rPr>
        <w:t xml:space="preserve"> within agreed timescales</w:t>
      </w:r>
      <w:r w:rsidR="002F5C8A" w:rsidRPr="00580C3E">
        <w:rPr>
          <w:rFonts w:ascii="Arial" w:hAnsi="Arial" w:cs="Arial"/>
          <w:sz w:val="22"/>
          <w:szCs w:val="22"/>
          <w:lang w:val="en-GB"/>
        </w:rPr>
        <w:t xml:space="preserve">. </w:t>
      </w:r>
      <w:r w:rsidR="005F129D" w:rsidRPr="00580C3E">
        <w:rPr>
          <w:rFonts w:ascii="Arial" w:hAnsi="Arial" w:cs="Arial"/>
          <w:sz w:val="22"/>
          <w:szCs w:val="22"/>
          <w:lang w:val="en-GB"/>
        </w:rPr>
        <w:t>This</w:t>
      </w:r>
      <w:r w:rsidR="002F5C8A" w:rsidRPr="00580C3E">
        <w:rPr>
          <w:rFonts w:ascii="Arial" w:hAnsi="Arial" w:cs="Arial"/>
          <w:sz w:val="22"/>
          <w:szCs w:val="22"/>
          <w:lang w:val="en-GB"/>
        </w:rPr>
        <w:t xml:space="preserve"> represents a </w:t>
      </w:r>
      <w:r w:rsidR="005F129D" w:rsidRPr="00580C3E">
        <w:rPr>
          <w:rFonts w:ascii="Arial" w:hAnsi="Arial" w:cs="Arial"/>
          <w:sz w:val="22"/>
          <w:szCs w:val="22"/>
          <w:lang w:val="en-GB"/>
        </w:rPr>
        <w:t xml:space="preserve">decrease </w:t>
      </w:r>
      <w:r w:rsidR="00D17C8D" w:rsidRPr="00580C3E">
        <w:rPr>
          <w:rFonts w:ascii="Arial" w:hAnsi="Arial" w:cs="Arial"/>
          <w:sz w:val="22"/>
          <w:szCs w:val="22"/>
          <w:lang w:val="en-GB"/>
        </w:rPr>
        <w:t>o</w:t>
      </w:r>
      <w:r w:rsidR="00ED4DE1" w:rsidRPr="00580C3E">
        <w:rPr>
          <w:rFonts w:ascii="Arial" w:hAnsi="Arial" w:cs="Arial"/>
          <w:sz w:val="22"/>
          <w:szCs w:val="22"/>
          <w:lang w:val="en-GB"/>
        </w:rPr>
        <w:t xml:space="preserve">f </w:t>
      </w:r>
      <w:r w:rsidR="005F129D" w:rsidRPr="00580C3E">
        <w:rPr>
          <w:rFonts w:ascii="Arial" w:hAnsi="Arial" w:cs="Arial"/>
          <w:sz w:val="22"/>
          <w:szCs w:val="22"/>
          <w:lang w:val="en-GB"/>
        </w:rPr>
        <w:t xml:space="preserve">5% </w:t>
      </w:r>
      <w:r w:rsidR="00B9796F" w:rsidRPr="00580C3E">
        <w:rPr>
          <w:rFonts w:ascii="Arial" w:hAnsi="Arial" w:cs="Arial"/>
          <w:sz w:val="22"/>
          <w:szCs w:val="22"/>
          <w:lang w:val="en-GB"/>
        </w:rPr>
        <w:t>on the p</w:t>
      </w:r>
      <w:r w:rsidR="00ED4DE1" w:rsidRPr="00580C3E">
        <w:rPr>
          <w:rFonts w:ascii="Arial" w:hAnsi="Arial" w:cs="Arial"/>
          <w:sz w:val="22"/>
          <w:szCs w:val="22"/>
          <w:lang w:val="en-GB"/>
        </w:rPr>
        <w:t>revious year (</w:t>
      </w:r>
      <w:r w:rsidR="00FC742E" w:rsidRPr="00580C3E">
        <w:rPr>
          <w:rFonts w:ascii="Arial" w:hAnsi="Arial" w:cs="Arial"/>
          <w:sz w:val="22"/>
          <w:szCs w:val="22"/>
          <w:lang w:val="en-GB"/>
        </w:rPr>
        <w:t>1</w:t>
      </w:r>
      <w:r w:rsidR="005F129D" w:rsidRPr="00580C3E">
        <w:rPr>
          <w:rFonts w:ascii="Arial" w:hAnsi="Arial" w:cs="Arial"/>
          <w:sz w:val="22"/>
          <w:szCs w:val="22"/>
          <w:lang w:val="en-GB"/>
        </w:rPr>
        <w:t>8</w:t>
      </w:r>
      <w:r w:rsidR="00CB0F81" w:rsidRPr="00580C3E">
        <w:rPr>
          <w:rFonts w:ascii="Arial" w:hAnsi="Arial" w:cs="Arial"/>
          <w:sz w:val="22"/>
          <w:szCs w:val="22"/>
          <w:lang w:val="en-GB"/>
        </w:rPr>
        <w:t>%)</w:t>
      </w:r>
      <w:r w:rsidR="00382EBF" w:rsidRPr="00580C3E">
        <w:rPr>
          <w:rFonts w:ascii="Arial" w:hAnsi="Arial" w:cs="Arial"/>
          <w:sz w:val="22"/>
          <w:szCs w:val="22"/>
          <w:lang w:val="en-GB"/>
        </w:rPr>
        <w:t xml:space="preserve">. </w:t>
      </w:r>
      <w:r w:rsidR="00F97014" w:rsidRPr="00580C3E">
        <w:rPr>
          <w:rFonts w:ascii="Arial" w:hAnsi="Arial" w:cs="Arial"/>
          <w:sz w:val="22"/>
          <w:szCs w:val="22"/>
          <w:lang w:val="en-GB"/>
        </w:rPr>
        <w:t>The w</w:t>
      </w:r>
      <w:r w:rsidR="00382EBF" w:rsidRPr="00580C3E">
        <w:rPr>
          <w:rFonts w:ascii="Arial" w:hAnsi="Arial" w:cs="Arial"/>
          <w:sz w:val="22"/>
          <w:szCs w:val="22"/>
          <w:lang w:val="en-GB"/>
        </w:rPr>
        <w:t xml:space="preserve">ork to improve response rates, commenced in 2023/2024 </w:t>
      </w:r>
      <w:r w:rsidR="00F97014" w:rsidRPr="00580C3E">
        <w:rPr>
          <w:rFonts w:ascii="Arial" w:hAnsi="Arial" w:cs="Arial"/>
          <w:sz w:val="22"/>
          <w:szCs w:val="22"/>
          <w:lang w:val="en-GB"/>
        </w:rPr>
        <w:t xml:space="preserve">continued into 2024/2025, with the </w:t>
      </w:r>
      <w:r w:rsidR="00382EBF" w:rsidRPr="00580C3E">
        <w:rPr>
          <w:rFonts w:ascii="Arial" w:hAnsi="Arial" w:cs="Arial"/>
          <w:sz w:val="22"/>
          <w:szCs w:val="22"/>
          <w:lang w:val="en-GB"/>
        </w:rPr>
        <w:t>develop</w:t>
      </w:r>
      <w:r w:rsidR="00F97014" w:rsidRPr="00580C3E">
        <w:rPr>
          <w:rFonts w:ascii="Arial" w:hAnsi="Arial" w:cs="Arial"/>
          <w:sz w:val="22"/>
          <w:szCs w:val="22"/>
          <w:lang w:val="en-GB"/>
        </w:rPr>
        <w:t>ment</w:t>
      </w:r>
      <w:r w:rsidR="00382EBF" w:rsidRPr="00580C3E">
        <w:rPr>
          <w:rFonts w:ascii="Arial" w:hAnsi="Arial" w:cs="Arial"/>
          <w:sz w:val="22"/>
          <w:szCs w:val="22"/>
          <w:lang w:val="en-GB"/>
        </w:rPr>
        <w:t xml:space="preserve"> </w:t>
      </w:r>
      <w:r w:rsidR="00F97014" w:rsidRPr="00580C3E">
        <w:rPr>
          <w:rFonts w:ascii="Arial" w:hAnsi="Arial" w:cs="Arial"/>
          <w:sz w:val="22"/>
          <w:szCs w:val="22"/>
          <w:lang w:val="en-GB"/>
        </w:rPr>
        <w:t xml:space="preserve">of </w:t>
      </w:r>
      <w:r w:rsidR="00382EBF" w:rsidRPr="00580C3E">
        <w:rPr>
          <w:rFonts w:ascii="Arial" w:hAnsi="Arial" w:cs="Arial"/>
          <w:sz w:val="22"/>
          <w:szCs w:val="22"/>
          <w:lang w:val="en-GB"/>
        </w:rPr>
        <w:t>a Complaint Improvement Programme in August 2024.  The objective of the programme has been to improve how the Trust respond to complaints, the quality of the response provided, the timeframes within which responses are provided and how the Trust learns from complaints. Initial focus has been on ensuring that responses have been provided to all complaints due within the 2024/2025, financial year.  The backlog of some 500+ complaints has been cleared.  At the time of writing this report, there are less than 10 complaints, more than six months overdue</w:t>
      </w:r>
      <w:r w:rsidR="00C66679" w:rsidRPr="00580C3E">
        <w:rPr>
          <w:rFonts w:ascii="Arial" w:hAnsi="Arial" w:cs="Arial"/>
          <w:sz w:val="22"/>
          <w:szCs w:val="22"/>
          <w:lang w:val="en-GB"/>
        </w:rPr>
        <w:t xml:space="preserve"> and </w:t>
      </w:r>
      <w:r w:rsidR="000C0BDF" w:rsidRPr="000C0BDF">
        <w:rPr>
          <w:rFonts w:ascii="Arial" w:hAnsi="Arial" w:cs="Arial"/>
          <w:sz w:val="22"/>
          <w:szCs w:val="22"/>
          <w:lang w:val="en-GB"/>
        </w:rPr>
        <w:t>45</w:t>
      </w:r>
      <w:r w:rsidR="00C66679" w:rsidRPr="000C0BDF">
        <w:rPr>
          <w:rFonts w:ascii="Arial" w:hAnsi="Arial" w:cs="Arial"/>
          <w:sz w:val="22"/>
          <w:szCs w:val="22"/>
          <w:lang w:val="en-GB"/>
        </w:rPr>
        <w:t>% of responses are being sent within required timescales</w:t>
      </w:r>
      <w:r w:rsidR="000C0BDF">
        <w:rPr>
          <w:rFonts w:ascii="Arial" w:hAnsi="Arial" w:cs="Arial"/>
          <w:sz w:val="22"/>
          <w:szCs w:val="22"/>
          <w:lang w:val="en-GB"/>
        </w:rPr>
        <w:t>.</w:t>
      </w:r>
    </w:p>
    <w:p w14:paraId="02D1B455" w14:textId="77777777" w:rsidR="008842D6" w:rsidRPr="00382EBF" w:rsidRDefault="008842D6" w:rsidP="00382EBF">
      <w:pPr>
        <w:rPr>
          <w:rFonts w:ascii="Arial" w:eastAsia="Times New Roman" w:hAnsi="Arial" w:cs="Arial"/>
          <w:sz w:val="22"/>
          <w:szCs w:val="22"/>
          <w:highlight w:val="yellow"/>
        </w:rPr>
      </w:pPr>
    </w:p>
    <w:p w14:paraId="66A639E2" w14:textId="1C79BBD5" w:rsidR="00A859FE" w:rsidRPr="00580C3E" w:rsidRDefault="007C3667" w:rsidP="008842D6">
      <w:pPr>
        <w:pStyle w:val="ListParagraph"/>
        <w:numPr>
          <w:ilvl w:val="0"/>
          <w:numId w:val="2"/>
        </w:numPr>
        <w:jc w:val="both"/>
        <w:rPr>
          <w:rFonts w:ascii="Arial" w:hAnsi="Arial" w:cs="Arial"/>
          <w:sz w:val="22"/>
          <w:szCs w:val="22"/>
          <w:lang w:val="en-GB"/>
        </w:rPr>
      </w:pPr>
      <w:r w:rsidRPr="00580C3E">
        <w:rPr>
          <w:rFonts w:ascii="Arial" w:eastAsia="Times New Roman" w:hAnsi="Arial" w:cs="Arial"/>
          <w:sz w:val="22"/>
          <w:szCs w:val="22"/>
        </w:rPr>
        <w:t>During 202</w:t>
      </w:r>
      <w:r w:rsidR="00925B15" w:rsidRPr="00580C3E">
        <w:rPr>
          <w:rFonts w:ascii="Arial" w:eastAsia="Times New Roman" w:hAnsi="Arial" w:cs="Arial"/>
          <w:sz w:val="22"/>
          <w:szCs w:val="22"/>
        </w:rPr>
        <w:t>4</w:t>
      </w:r>
      <w:r w:rsidRPr="00580C3E">
        <w:rPr>
          <w:rFonts w:ascii="Arial" w:eastAsia="Times New Roman" w:hAnsi="Arial" w:cs="Arial"/>
          <w:sz w:val="22"/>
          <w:szCs w:val="22"/>
        </w:rPr>
        <w:t>/202</w:t>
      </w:r>
      <w:r w:rsidR="00925B15" w:rsidRPr="00580C3E">
        <w:rPr>
          <w:rFonts w:ascii="Arial" w:eastAsia="Times New Roman" w:hAnsi="Arial" w:cs="Arial"/>
          <w:sz w:val="22"/>
          <w:szCs w:val="22"/>
        </w:rPr>
        <w:t>5</w:t>
      </w:r>
      <w:r w:rsidRPr="00580C3E">
        <w:rPr>
          <w:rFonts w:ascii="Arial" w:eastAsia="Times New Roman" w:hAnsi="Arial" w:cs="Arial"/>
          <w:sz w:val="22"/>
          <w:szCs w:val="22"/>
        </w:rPr>
        <w:t xml:space="preserve"> </w:t>
      </w:r>
      <w:r w:rsidR="00925B15" w:rsidRPr="00580C3E">
        <w:rPr>
          <w:rFonts w:ascii="Arial" w:eastAsia="Times New Roman" w:hAnsi="Arial" w:cs="Arial"/>
          <w:sz w:val="22"/>
          <w:szCs w:val="22"/>
        </w:rPr>
        <w:t xml:space="preserve">9 </w:t>
      </w:r>
      <w:r w:rsidR="004D49B6" w:rsidRPr="00580C3E">
        <w:rPr>
          <w:rFonts w:ascii="Arial" w:eastAsia="Times New Roman" w:hAnsi="Arial" w:cs="Arial"/>
          <w:sz w:val="22"/>
          <w:szCs w:val="22"/>
        </w:rPr>
        <w:t xml:space="preserve">complaints were referred to the PHSO. </w:t>
      </w:r>
      <w:r w:rsidR="00A859FE" w:rsidRPr="00580C3E">
        <w:rPr>
          <w:rFonts w:ascii="Arial" w:hAnsi="Arial" w:cs="Arial"/>
          <w:sz w:val="22"/>
          <w:szCs w:val="22"/>
          <w:lang w:val="en-GB"/>
        </w:rPr>
        <w:t xml:space="preserve">A decision has been received during the year on 5 cases (decisions may relate to cases referred in the previous year). 1 was upheld, 3 </w:t>
      </w:r>
      <w:r w:rsidR="000C0BDF">
        <w:rPr>
          <w:rFonts w:ascii="Arial" w:hAnsi="Arial" w:cs="Arial"/>
          <w:sz w:val="22"/>
          <w:szCs w:val="22"/>
          <w:lang w:val="en-GB"/>
        </w:rPr>
        <w:t>were</w:t>
      </w:r>
      <w:r w:rsidR="00A859FE" w:rsidRPr="00580C3E">
        <w:rPr>
          <w:rFonts w:ascii="Arial" w:hAnsi="Arial" w:cs="Arial"/>
          <w:sz w:val="22"/>
          <w:szCs w:val="22"/>
          <w:lang w:val="en-GB"/>
        </w:rPr>
        <w:t xml:space="preserve"> not upheld and 1 w</w:t>
      </w:r>
      <w:r w:rsidR="000C0BDF">
        <w:rPr>
          <w:rFonts w:ascii="Arial" w:hAnsi="Arial" w:cs="Arial"/>
          <w:sz w:val="22"/>
          <w:szCs w:val="22"/>
          <w:lang w:val="en-GB"/>
        </w:rPr>
        <w:t>as</w:t>
      </w:r>
      <w:r w:rsidR="00A859FE" w:rsidRPr="00580C3E">
        <w:rPr>
          <w:rFonts w:ascii="Arial" w:hAnsi="Arial" w:cs="Arial"/>
          <w:sz w:val="22"/>
          <w:szCs w:val="22"/>
          <w:lang w:val="en-GB"/>
        </w:rPr>
        <w:t xml:space="preserve"> partially upheld. The PHSO do not inform us of complaint referrals that do not meet their threshold and are, therefore, not formally investigated through the second stage resolution process.</w:t>
      </w:r>
    </w:p>
    <w:p w14:paraId="2B9DD066" w14:textId="12078A9E" w:rsidR="004D49B6" w:rsidRPr="00772AC8" w:rsidRDefault="004D49B6" w:rsidP="008842D6">
      <w:pPr>
        <w:pStyle w:val="ListParagraph"/>
        <w:jc w:val="both"/>
        <w:rPr>
          <w:rFonts w:ascii="Arial" w:hAnsi="Arial" w:cs="Arial"/>
          <w:sz w:val="22"/>
          <w:szCs w:val="22"/>
          <w:highlight w:val="yellow"/>
          <w:lang w:val="en-GB"/>
        </w:rPr>
      </w:pPr>
    </w:p>
    <w:p w14:paraId="4789B27A" w14:textId="77777777" w:rsidR="00580C3E" w:rsidRDefault="00382EBF" w:rsidP="00580C3E">
      <w:pPr>
        <w:pStyle w:val="ListParagraph"/>
        <w:numPr>
          <w:ilvl w:val="0"/>
          <w:numId w:val="2"/>
        </w:numPr>
        <w:jc w:val="both"/>
        <w:rPr>
          <w:rFonts w:ascii="Arial" w:hAnsi="Arial" w:cs="Arial"/>
          <w:sz w:val="22"/>
          <w:szCs w:val="22"/>
          <w:lang w:val="en-GB"/>
        </w:rPr>
      </w:pPr>
      <w:bookmarkStart w:id="1" w:name="_Hlk207043245"/>
      <w:r w:rsidRPr="00580C3E">
        <w:rPr>
          <w:rFonts w:ascii="Arial" w:hAnsi="Arial" w:cs="Arial"/>
          <w:sz w:val="22"/>
          <w:szCs w:val="22"/>
          <w:lang w:val="en-GB"/>
        </w:rPr>
        <w:t>Improving how the Trust l</w:t>
      </w:r>
      <w:r w:rsidR="004D49B6" w:rsidRPr="00580C3E">
        <w:rPr>
          <w:rFonts w:ascii="Arial" w:hAnsi="Arial" w:cs="Arial"/>
          <w:sz w:val="22"/>
          <w:szCs w:val="22"/>
          <w:lang w:val="en-GB"/>
        </w:rPr>
        <w:t>earn from complaints</w:t>
      </w:r>
      <w:r w:rsidRPr="00580C3E">
        <w:rPr>
          <w:rFonts w:ascii="Arial" w:hAnsi="Arial" w:cs="Arial"/>
          <w:sz w:val="22"/>
          <w:szCs w:val="22"/>
          <w:lang w:val="en-GB"/>
        </w:rPr>
        <w:t xml:space="preserve"> </w:t>
      </w:r>
      <w:r w:rsidR="006B7D34" w:rsidRPr="00580C3E">
        <w:rPr>
          <w:rFonts w:ascii="Arial" w:hAnsi="Arial" w:cs="Arial"/>
          <w:sz w:val="22"/>
          <w:szCs w:val="22"/>
          <w:lang w:val="en-GB"/>
        </w:rPr>
        <w:t>remains a</w:t>
      </w:r>
      <w:r w:rsidRPr="00580C3E">
        <w:rPr>
          <w:rFonts w:ascii="Arial" w:hAnsi="Arial" w:cs="Arial"/>
          <w:sz w:val="22"/>
          <w:szCs w:val="22"/>
          <w:lang w:val="en-GB"/>
        </w:rPr>
        <w:t xml:space="preserve"> focus of the Complaint Improvement Group</w:t>
      </w:r>
      <w:r w:rsidR="004D49B6" w:rsidRPr="00580C3E">
        <w:rPr>
          <w:rFonts w:ascii="Arial" w:hAnsi="Arial" w:cs="Arial"/>
          <w:sz w:val="22"/>
          <w:szCs w:val="22"/>
          <w:lang w:val="en-GB"/>
        </w:rPr>
        <w:t xml:space="preserve">. </w:t>
      </w:r>
      <w:r w:rsidRPr="00580C3E">
        <w:rPr>
          <w:rFonts w:ascii="Arial" w:hAnsi="Arial" w:cs="Arial"/>
          <w:sz w:val="22"/>
          <w:szCs w:val="22"/>
          <w:lang w:val="en-GB"/>
        </w:rPr>
        <w:t xml:space="preserve">Having cleared a significant backlog of overdue complaints and increased Divisional Leadership </w:t>
      </w:r>
      <w:proofErr w:type="gramStart"/>
      <w:r w:rsidRPr="00580C3E">
        <w:rPr>
          <w:rFonts w:ascii="Arial" w:hAnsi="Arial" w:cs="Arial"/>
          <w:sz w:val="22"/>
          <w:szCs w:val="22"/>
          <w:lang w:val="en-GB"/>
        </w:rPr>
        <w:t>teams</w:t>
      </w:r>
      <w:proofErr w:type="gramEnd"/>
      <w:r w:rsidRPr="00580C3E">
        <w:rPr>
          <w:rFonts w:ascii="Arial" w:hAnsi="Arial" w:cs="Arial"/>
          <w:sz w:val="22"/>
          <w:szCs w:val="22"/>
          <w:lang w:val="en-GB"/>
        </w:rPr>
        <w:t xml:space="preserve"> oversight and responsibility </w:t>
      </w:r>
      <w:r w:rsidR="006B7D34" w:rsidRPr="00580C3E">
        <w:rPr>
          <w:rFonts w:ascii="Arial" w:hAnsi="Arial" w:cs="Arial"/>
          <w:sz w:val="22"/>
          <w:szCs w:val="22"/>
          <w:lang w:val="en-GB"/>
        </w:rPr>
        <w:t>for</w:t>
      </w:r>
      <w:r w:rsidRPr="00580C3E">
        <w:rPr>
          <w:rFonts w:ascii="Arial" w:hAnsi="Arial" w:cs="Arial"/>
          <w:sz w:val="22"/>
          <w:szCs w:val="22"/>
          <w:lang w:val="en-GB"/>
        </w:rPr>
        <w:t xml:space="preserve"> complaints, there is improved visibility of issues, concerns, themes and trends, enabling Divisional and Service line, leadership teams to initiate service improvements, in real time.  </w:t>
      </w:r>
    </w:p>
    <w:p w14:paraId="0890C2A6" w14:textId="77777777" w:rsidR="00580C3E" w:rsidRPr="00580C3E" w:rsidRDefault="00580C3E" w:rsidP="00580C3E">
      <w:pPr>
        <w:pStyle w:val="ListParagraph"/>
        <w:rPr>
          <w:rFonts w:ascii="Arial" w:hAnsi="Arial" w:cs="Arial"/>
          <w:sz w:val="22"/>
          <w:szCs w:val="22"/>
          <w:lang w:val="en-GB"/>
        </w:rPr>
      </w:pPr>
    </w:p>
    <w:p w14:paraId="02705C9E" w14:textId="21D01A32" w:rsidR="004D49B6" w:rsidRPr="00580C3E" w:rsidRDefault="004D49B6" w:rsidP="00580C3E">
      <w:pPr>
        <w:pStyle w:val="ListParagraph"/>
        <w:numPr>
          <w:ilvl w:val="0"/>
          <w:numId w:val="2"/>
        </w:numPr>
        <w:jc w:val="both"/>
        <w:rPr>
          <w:rFonts w:ascii="Arial" w:hAnsi="Arial" w:cs="Arial"/>
          <w:sz w:val="22"/>
          <w:szCs w:val="22"/>
          <w:lang w:val="en-GB"/>
        </w:rPr>
      </w:pPr>
      <w:r w:rsidRPr="00580C3E">
        <w:rPr>
          <w:rFonts w:ascii="Arial" w:hAnsi="Arial" w:cs="Arial"/>
          <w:sz w:val="22"/>
          <w:szCs w:val="22"/>
          <w:lang w:val="en-GB"/>
        </w:rPr>
        <w:t xml:space="preserve">There is good evidence of learning from complaints, specifically in the Women’s &amp; Children’s </w:t>
      </w:r>
      <w:r w:rsidR="003B7CA3" w:rsidRPr="00580C3E">
        <w:rPr>
          <w:rFonts w:ascii="Arial" w:hAnsi="Arial" w:cs="Arial"/>
          <w:sz w:val="22"/>
          <w:szCs w:val="22"/>
          <w:lang w:val="en-GB"/>
        </w:rPr>
        <w:t>and Surgical Division.</w:t>
      </w:r>
      <w:r w:rsidRPr="00580C3E">
        <w:rPr>
          <w:rFonts w:ascii="Arial" w:hAnsi="Arial" w:cs="Arial"/>
          <w:sz w:val="22"/>
          <w:szCs w:val="22"/>
          <w:lang w:val="en-GB"/>
        </w:rPr>
        <w:t xml:space="preserve">  Communication </w:t>
      </w:r>
      <w:r w:rsidR="003B7CA3" w:rsidRPr="00580C3E">
        <w:rPr>
          <w:rFonts w:ascii="Arial" w:hAnsi="Arial" w:cs="Arial"/>
          <w:sz w:val="22"/>
          <w:szCs w:val="22"/>
          <w:lang w:val="en-GB"/>
        </w:rPr>
        <w:t>remains a</w:t>
      </w:r>
      <w:r w:rsidRPr="00580C3E">
        <w:rPr>
          <w:rFonts w:ascii="Arial" w:hAnsi="Arial" w:cs="Arial"/>
          <w:sz w:val="22"/>
          <w:szCs w:val="22"/>
          <w:lang w:val="en-GB"/>
        </w:rPr>
        <w:t xml:space="preserve"> common theme running through many of the concerns and complaints raised. </w:t>
      </w:r>
      <w:bookmarkStart w:id="2" w:name="_Hlk207044006"/>
      <w:r w:rsidR="00F97014" w:rsidRPr="00580C3E">
        <w:rPr>
          <w:rFonts w:ascii="Arial" w:hAnsi="Arial" w:cs="Arial"/>
          <w:sz w:val="22"/>
          <w:szCs w:val="22"/>
          <w:lang w:val="en-GB"/>
        </w:rPr>
        <w:t>In recognition of the challenges faced with communication with service users, the Digital team have introduced the Patient Engagement Portal.  Martha’s Rule is also helping to empower patients, families, carers and staff to ensure that their concerns are listened to and acted upon. The introduction of a monthly Experience of Care Meeting in April 2025 will further improve learning from complaints, by the provision of a forum to consider real time issues, concerns, themes and trends across both the PALs and Complaints teams.  Though the work of this group, Divisional and Service line leaders will be supported with designing and developing actions to improve service user experience</w:t>
      </w:r>
      <w:bookmarkEnd w:id="2"/>
      <w:r w:rsidR="00F97014" w:rsidRPr="00580C3E">
        <w:rPr>
          <w:rFonts w:ascii="Arial" w:hAnsi="Arial" w:cs="Arial"/>
          <w:sz w:val="22"/>
          <w:szCs w:val="22"/>
          <w:lang w:val="en-GB"/>
        </w:rPr>
        <w:t xml:space="preserve">. </w:t>
      </w:r>
    </w:p>
    <w:p w14:paraId="3C100003" w14:textId="77777777" w:rsidR="003B7CA3" w:rsidRPr="003B7CA3" w:rsidRDefault="003B7CA3" w:rsidP="003B7CA3">
      <w:pPr>
        <w:pStyle w:val="ListParagraph"/>
        <w:rPr>
          <w:rFonts w:ascii="Arial" w:hAnsi="Arial" w:cs="Arial"/>
          <w:sz w:val="22"/>
          <w:szCs w:val="22"/>
          <w:highlight w:val="yellow"/>
          <w:lang w:val="en-GB"/>
        </w:rPr>
      </w:pPr>
    </w:p>
    <w:p w14:paraId="08DDB25B" w14:textId="2BB96D86" w:rsidR="003B7CA3" w:rsidRPr="00580C3E" w:rsidRDefault="003B7CA3" w:rsidP="004D49B6">
      <w:pPr>
        <w:pStyle w:val="ListParagraph"/>
        <w:numPr>
          <w:ilvl w:val="0"/>
          <w:numId w:val="2"/>
        </w:numPr>
        <w:jc w:val="both"/>
        <w:rPr>
          <w:rFonts w:ascii="Arial" w:hAnsi="Arial" w:cs="Arial"/>
          <w:sz w:val="22"/>
          <w:szCs w:val="22"/>
          <w:lang w:val="en-GB"/>
        </w:rPr>
      </w:pPr>
      <w:r w:rsidRPr="00580C3E">
        <w:rPr>
          <w:rFonts w:ascii="Arial" w:hAnsi="Arial" w:cs="Arial"/>
          <w:sz w:val="22"/>
          <w:szCs w:val="22"/>
          <w:lang w:val="en-GB"/>
        </w:rPr>
        <w:t xml:space="preserve">Action Plans arising from Complex Complaints are monitored and assured through to closure by the Safety, Experience and Review Group. The Complaint Improvement Group have identified the need for an improved approach to monitoring and closing actions arising </w:t>
      </w:r>
      <w:r w:rsidRPr="00580C3E">
        <w:rPr>
          <w:rFonts w:ascii="Arial" w:hAnsi="Arial" w:cs="Arial"/>
          <w:sz w:val="22"/>
          <w:szCs w:val="22"/>
          <w:lang w:val="en-GB"/>
        </w:rPr>
        <w:lastRenderedPageBreak/>
        <w:t xml:space="preserve">from standard complaints. Through the work of the Complaint Improvement Group, the feedback module of Datix Cloud will be utilised to record all outstanding actions; providing a mechanism for Divisional leadership teams to have improved visibility and support staff, with closure. </w:t>
      </w:r>
    </w:p>
    <w:p w14:paraId="2CE2E256" w14:textId="77777777" w:rsidR="00C1601D" w:rsidRPr="00580C3E" w:rsidRDefault="00C1601D" w:rsidP="00C1601D">
      <w:pPr>
        <w:pStyle w:val="ListParagraph"/>
        <w:rPr>
          <w:rFonts w:ascii="Arial" w:hAnsi="Arial" w:cs="Arial"/>
          <w:sz w:val="22"/>
          <w:szCs w:val="22"/>
          <w:lang w:val="en-GB"/>
        </w:rPr>
      </w:pPr>
    </w:p>
    <w:p w14:paraId="4124018F" w14:textId="3E051333" w:rsidR="00C1601D" w:rsidRPr="00580C3E" w:rsidRDefault="00C1601D" w:rsidP="004D49B6">
      <w:pPr>
        <w:pStyle w:val="ListParagraph"/>
        <w:numPr>
          <w:ilvl w:val="0"/>
          <w:numId w:val="2"/>
        </w:numPr>
        <w:jc w:val="both"/>
        <w:rPr>
          <w:rFonts w:ascii="Arial" w:hAnsi="Arial" w:cs="Arial"/>
          <w:sz w:val="22"/>
          <w:szCs w:val="22"/>
          <w:lang w:val="en-GB"/>
        </w:rPr>
      </w:pPr>
      <w:r w:rsidRPr="00580C3E">
        <w:rPr>
          <w:rFonts w:ascii="Arial" w:hAnsi="Arial" w:cs="Arial"/>
          <w:sz w:val="22"/>
          <w:szCs w:val="22"/>
          <w:lang w:val="en-GB"/>
        </w:rPr>
        <w:t>The Trust’s Complaint Handling Policy has been updated and published.</w:t>
      </w:r>
    </w:p>
    <w:bookmarkEnd w:id="1"/>
    <w:p w14:paraId="1176E728" w14:textId="77777777" w:rsidR="004D49B6" w:rsidRPr="00580C3E" w:rsidRDefault="004D49B6" w:rsidP="004D49B6">
      <w:pPr>
        <w:jc w:val="both"/>
        <w:rPr>
          <w:rFonts w:ascii="Arial" w:hAnsi="Arial" w:cs="Arial"/>
          <w:sz w:val="22"/>
          <w:szCs w:val="22"/>
          <w:lang w:val="en-GB"/>
        </w:rPr>
      </w:pPr>
    </w:p>
    <w:p w14:paraId="25054CC5" w14:textId="3CBB403F" w:rsidR="00625EEF" w:rsidRPr="00580C3E" w:rsidRDefault="00530391" w:rsidP="00B1260F">
      <w:pPr>
        <w:pStyle w:val="ListParagraph"/>
        <w:numPr>
          <w:ilvl w:val="0"/>
          <w:numId w:val="2"/>
        </w:numPr>
        <w:jc w:val="both"/>
        <w:rPr>
          <w:rFonts w:ascii="Arial" w:hAnsi="Arial" w:cs="Arial"/>
          <w:sz w:val="22"/>
          <w:szCs w:val="22"/>
          <w:lang w:val="en-GB"/>
        </w:rPr>
      </w:pPr>
      <w:r w:rsidRPr="00580C3E">
        <w:rPr>
          <w:rFonts w:ascii="Arial" w:hAnsi="Arial" w:cs="Arial"/>
          <w:sz w:val="22"/>
          <w:szCs w:val="22"/>
          <w:lang w:val="en-GB"/>
        </w:rPr>
        <w:t xml:space="preserve">This Annual Complaints report will be published on the Trust website as required to meet our quality reporting requirements for the Quality Account. </w:t>
      </w:r>
    </w:p>
    <w:p w14:paraId="43EA9178" w14:textId="18DB8954" w:rsidR="00625EEF" w:rsidRDefault="00625EEF" w:rsidP="00B1260F">
      <w:pPr>
        <w:rPr>
          <w:rFonts w:ascii="Arial" w:hAnsi="Arial" w:cs="Arial"/>
          <w:sz w:val="22"/>
          <w:szCs w:val="22"/>
          <w:lang w:val="en-GB"/>
        </w:rPr>
      </w:pPr>
    </w:p>
    <w:p w14:paraId="39302219" w14:textId="77777777" w:rsidR="00625EEF" w:rsidRPr="00B1260F" w:rsidRDefault="00625EEF" w:rsidP="00B1260F">
      <w:pPr>
        <w:rPr>
          <w:rFonts w:ascii="Arial" w:hAnsi="Arial" w:cs="Arial"/>
          <w:sz w:val="22"/>
          <w:szCs w:val="22"/>
          <w:lang w:val="en-GB"/>
        </w:rPr>
      </w:pPr>
    </w:p>
    <w:p w14:paraId="35FDC578" w14:textId="77777777" w:rsidR="004954E1" w:rsidRPr="00452CE4" w:rsidRDefault="004954E1" w:rsidP="002C0D14">
      <w:pPr>
        <w:pStyle w:val="ListParagraph"/>
        <w:rPr>
          <w:rFonts w:ascii="Arial" w:hAnsi="Arial" w:cs="Arial"/>
          <w:sz w:val="22"/>
          <w:szCs w:val="22"/>
          <w:lang w:val="en-GB"/>
        </w:rPr>
      </w:pPr>
    </w:p>
    <w:p w14:paraId="638D4FBA" w14:textId="77777777" w:rsidR="00963C5F" w:rsidRPr="00452CE4" w:rsidRDefault="00963C5F" w:rsidP="00165C20">
      <w:pPr>
        <w:pStyle w:val="ListParagraph"/>
        <w:numPr>
          <w:ilvl w:val="0"/>
          <w:numId w:val="3"/>
        </w:numPr>
        <w:ind w:hanging="720"/>
        <w:rPr>
          <w:rFonts w:ascii="Arial" w:hAnsi="Arial" w:cs="Arial"/>
          <w:b/>
          <w:sz w:val="22"/>
          <w:szCs w:val="22"/>
          <w:lang w:val="en-GB"/>
        </w:rPr>
      </w:pPr>
      <w:r w:rsidRPr="00452CE4">
        <w:rPr>
          <w:rFonts w:ascii="Arial" w:hAnsi="Arial" w:cs="Arial"/>
          <w:b/>
          <w:sz w:val="22"/>
          <w:szCs w:val="22"/>
          <w:lang w:val="en-GB"/>
        </w:rPr>
        <w:t>Accountability for complaints management</w:t>
      </w:r>
    </w:p>
    <w:p w14:paraId="3F38892F" w14:textId="77777777" w:rsidR="009F7A46" w:rsidRPr="00452CE4" w:rsidRDefault="009F7A46" w:rsidP="009F7A46">
      <w:pPr>
        <w:pStyle w:val="ListParagraph"/>
        <w:rPr>
          <w:rFonts w:ascii="Arial" w:hAnsi="Arial" w:cs="Arial"/>
          <w:b/>
          <w:sz w:val="22"/>
          <w:szCs w:val="22"/>
          <w:lang w:val="en-GB"/>
        </w:rPr>
      </w:pPr>
    </w:p>
    <w:p w14:paraId="76F39827" w14:textId="59E74A4F" w:rsidR="00963C5F" w:rsidRPr="00452CE4" w:rsidRDefault="00963C5F" w:rsidP="009F7A46">
      <w:pPr>
        <w:jc w:val="both"/>
        <w:rPr>
          <w:rFonts w:ascii="Arial" w:hAnsi="Arial" w:cs="Arial"/>
          <w:sz w:val="22"/>
          <w:szCs w:val="22"/>
          <w:lang w:val="en-GB"/>
        </w:rPr>
      </w:pPr>
      <w:r w:rsidRPr="00452CE4">
        <w:rPr>
          <w:rFonts w:ascii="Arial" w:hAnsi="Arial" w:cs="Arial"/>
          <w:sz w:val="22"/>
          <w:szCs w:val="22"/>
          <w:lang w:val="en-GB"/>
        </w:rPr>
        <w:t>The Board of Directors has corporate responsibility for the quality of care and the management and monitoring of complaints received by our Trust. The Chief Executive has delegated the responsibility for the management of complaints to the</w:t>
      </w:r>
      <w:r w:rsidR="003F71D4">
        <w:rPr>
          <w:rFonts w:ascii="Arial" w:hAnsi="Arial" w:cs="Arial"/>
          <w:sz w:val="22"/>
          <w:szCs w:val="22"/>
          <w:lang w:val="en-GB"/>
        </w:rPr>
        <w:t xml:space="preserve"> Medical Director and Director for Safety</w:t>
      </w:r>
      <w:r w:rsidRPr="00452CE4">
        <w:rPr>
          <w:rFonts w:ascii="Arial" w:hAnsi="Arial" w:cs="Arial"/>
          <w:sz w:val="22"/>
          <w:szCs w:val="22"/>
          <w:lang w:val="en-GB"/>
        </w:rPr>
        <w:t>.</w:t>
      </w:r>
    </w:p>
    <w:p w14:paraId="7A210654" w14:textId="77777777" w:rsidR="009F7A46" w:rsidRPr="00452CE4" w:rsidRDefault="009F7A46" w:rsidP="009F7A46">
      <w:pPr>
        <w:jc w:val="both"/>
        <w:rPr>
          <w:rFonts w:ascii="Arial" w:hAnsi="Arial" w:cs="Arial"/>
          <w:sz w:val="22"/>
          <w:szCs w:val="22"/>
          <w:lang w:val="en-GB"/>
        </w:rPr>
      </w:pPr>
    </w:p>
    <w:p w14:paraId="3441140C" w14:textId="32A3DA2B" w:rsidR="00963C5F" w:rsidRPr="00452CE4" w:rsidRDefault="00A82D30" w:rsidP="009F7A46">
      <w:pPr>
        <w:jc w:val="both"/>
        <w:rPr>
          <w:rFonts w:ascii="Arial" w:hAnsi="Arial" w:cs="Arial"/>
          <w:sz w:val="22"/>
          <w:szCs w:val="22"/>
          <w:lang w:val="en-GB"/>
        </w:rPr>
      </w:pPr>
      <w:r>
        <w:rPr>
          <w:rFonts w:ascii="Arial" w:hAnsi="Arial" w:cs="Arial"/>
          <w:sz w:val="22"/>
          <w:szCs w:val="22"/>
          <w:lang w:val="en-GB"/>
        </w:rPr>
        <w:t>The Complaints Department sits within the Patient Investigation and Learning Team and is</w:t>
      </w:r>
      <w:r w:rsidR="009C07AC" w:rsidRPr="00452CE4">
        <w:rPr>
          <w:rFonts w:ascii="Arial" w:hAnsi="Arial" w:cs="Arial"/>
          <w:sz w:val="22"/>
          <w:szCs w:val="22"/>
          <w:lang w:val="en-GB"/>
        </w:rPr>
        <w:t xml:space="preserve"> </w:t>
      </w:r>
      <w:r w:rsidR="00A85CB8" w:rsidRPr="00452CE4">
        <w:rPr>
          <w:rFonts w:ascii="Arial" w:hAnsi="Arial" w:cs="Arial"/>
          <w:sz w:val="22"/>
          <w:szCs w:val="22"/>
          <w:lang w:val="en-GB"/>
        </w:rPr>
        <w:t>managed by the Head Complaints</w:t>
      </w:r>
      <w:r w:rsidR="00C81DB8" w:rsidRPr="00452CE4">
        <w:rPr>
          <w:rFonts w:ascii="Arial" w:hAnsi="Arial" w:cs="Arial"/>
          <w:sz w:val="22"/>
          <w:szCs w:val="22"/>
          <w:lang w:val="en-GB"/>
        </w:rPr>
        <w:t>, reporting to the</w:t>
      </w:r>
      <w:r w:rsidR="003F71D4">
        <w:rPr>
          <w:rFonts w:ascii="Arial" w:hAnsi="Arial" w:cs="Arial"/>
          <w:sz w:val="22"/>
          <w:szCs w:val="22"/>
          <w:lang w:val="en-GB"/>
        </w:rPr>
        <w:t xml:space="preserve"> Associate Director of Safety (Investigation</w:t>
      </w:r>
      <w:r w:rsidR="004D49B6">
        <w:rPr>
          <w:rFonts w:ascii="Arial" w:hAnsi="Arial" w:cs="Arial"/>
          <w:sz w:val="22"/>
          <w:szCs w:val="22"/>
          <w:lang w:val="en-GB"/>
        </w:rPr>
        <w:t xml:space="preserve"> </w:t>
      </w:r>
      <w:r w:rsidR="003F71D4">
        <w:rPr>
          <w:rFonts w:ascii="Arial" w:hAnsi="Arial" w:cs="Arial"/>
          <w:sz w:val="22"/>
          <w:szCs w:val="22"/>
          <w:lang w:val="en-GB"/>
        </w:rPr>
        <w:t>and Family Support).</w:t>
      </w:r>
      <w:r w:rsidR="00625EEF">
        <w:rPr>
          <w:rFonts w:ascii="Arial" w:hAnsi="Arial" w:cs="Arial"/>
          <w:sz w:val="22"/>
          <w:szCs w:val="22"/>
          <w:lang w:val="en-GB"/>
        </w:rPr>
        <w:t xml:space="preserve"> </w:t>
      </w:r>
      <w:r w:rsidR="00963C5F" w:rsidRPr="00452CE4">
        <w:rPr>
          <w:rFonts w:ascii="Arial" w:hAnsi="Arial" w:cs="Arial"/>
          <w:sz w:val="22"/>
          <w:szCs w:val="22"/>
          <w:lang w:val="en-GB"/>
        </w:rPr>
        <w:t xml:space="preserve">The </w:t>
      </w:r>
      <w:r w:rsidR="00A85CB8" w:rsidRPr="00452CE4">
        <w:rPr>
          <w:rFonts w:ascii="Arial" w:hAnsi="Arial" w:cs="Arial"/>
          <w:sz w:val="22"/>
          <w:szCs w:val="22"/>
          <w:lang w:val="en-GB"/>
        </w:rPr>
        <w:t xml:space="preserve">Head of Complaints </w:t>
      </w:r>
      <w:r w:rsidR="00061A8D" w:rsidRPr="00452CE4">
        <w:rPr>
          <w:rFonts w:ascii="Arial" w:hAnsi="Arial" w:cs="Arial"/>
          <w:sz w:val="22"/>
          <w:szCs w:val="22"/>
          <w:lang w:val="en-GB"/>
        </w:rPr>
        <w:t xml:space="preserve">is </w:t>
      </w:r>
      <w:r w:rsidR="00A85CB8" w:rsidRPr="00452CE4">
        <w:rPr>
          <w:rFonts w:ascii="Arial" w:hAnsi="Arial" w:cs="Arial"/>
          <w:sz w:val="22"/>
          <w:szCs w:val="22"/>
          <w:lang w:val="en-GB"/>
        </w:rPr>
        <w:t xml:space="preserve">responsible for </w:t>
      </w:r>
      <w:r w:rsidR="00920B2B" w:rsidRPr="00452CE4">
        <w:rPr>
          <w:rFonts w:ascii="Arial" w:hAnsi="Arial" w:cs="Arial"/>
          <w:sz w:val="22"/>
          <w:szCs w:val="22"/>
          <w:lang w:val="en-GB"/>
        </w:rPr>
        <w:t>ensuring that</w:t>
      </w:r>
      <w:r w:rsidR="00963C5F" w:rsidRPr="00452CE4">
        <w:rPr>
          <w:rFonts w:ascii="Arial" w:hAnsi="Arial" w:cs="Arial"/>
          <w:sz w:val="22"/>
          <w:szCs w:val="22"/>
          <w:lang w:val="en-GB"/>
        </w:rPr>
        <w:t>:</w:t>
      </w:r>
    </w:p>
    <w:p w14:paraId="3FAAE3E8" w14:textId="77777777" w:rsidR="009F7A46" w:rsidRPr="00452CE4" w:rsidRDefault="009F7A46" w:rsidP="00963C5F">
      <w:pPr>
        <w:rPr>
          <w:rFonts w:ascii="Arial" w:hAnsi="Arial" w:cs="Arial"/>
          <w:sz w:val="22"/>
          <w:szCs w:val="22"/>
          <w:lang w:val="en-GB"/>
        </w:rPr>
      </w:pPr>
    </w:p>
    <w:p w14:paraId="19F60311" w14:textId="77777777" w:rsidR="00963C5F" w:rsidRPr="00452CE4" w:rsidRDefault="00920B2B" w:rsidP="00165C20">
      <w:pPr>
        <w:pStyle w:val="ListParagraph"/>
        <w:numPr>
          <w:ilvl w:val="0"/>
          <w:numId w:val="4"/>
        </w:numPr>
        <w:spacing w:after="120"/>
        <w:ind w:left="714" w:hanging="357"/>
        <w:contextualSpacing w:val="0"/>
        <w:rPr>
          <w:rFonts w:ascii="Arial" w:hAnsi="Arial" w:cs="Arial"/>
          <w:sz w:val="22"/>
          <w:szCs w:val="22"/>
          <w:lang w:val="en-GB"/>
        </w:rPr>
      </w:pPr>
      <w:r w:rsidRPr="00452CE4">
        <w:rPr>
          <w:rFonts w:ascii="Arial" w:hAnsi="Arial" w:cs="Arial"/>
          <w:sz w:val="22"/>
          <w:szCs w:val="22"/>
          <w:lang w:val="en-GB"/>
        </w:rPr>
        <w:t>All complaints are fully investigated appropriate to the complaint</w:t>
      </w:r>
    </w:p>
    <w:p w14:paraId="0DE0571B" w14:textId="77777777" w:rsidR="00920B2B" w:rsidRPr="00452CE4" w:rsidRDefault="00920B2B" w:rsidP="00165C20">
      <w:pPr>
        <w:pStyle w:val="ListParagraph"/>
        <w:numPr>
          <w:ilvl w:val="0"/>
          <w:numId w:val="4"/>
        </w:numPr>
        <w:spacing w:after="120"/>
        <w:ind w:left="714" w:hanging="357"/>
        <w:contextualSpacing w:val="0"/>
        <w:rPr>
          <w:rFonts w:ascii="Arial" w:hAnsi="Arial" w:cs="Arial"/>
          <w:sz w:val="22"/>
          <w:szCs w:val="22"/>
          <w:lang w:val="en-GB"/>
        </w:rPr>
      </w:pPr>
      <w:r w:rsidRPr="00452CE4">
        <w:rPr>
          <w:rFonts w:ascii="Arial" w:hAnsi="Arial" w:cs="Arial"/>
          <w:sz w:val="22"/>
          <w:szCs w:val="22"/>
          <w:lang w:val="en-GB"/>
        </w:rPr>
        <w:t>All complaints receive a comprehensive written response from the Chief Executive or their nominated deputy in their absence</w:t>
      </w:r>
    </w:p>
    <w:p w14:paraId="727A5590" w14:textId="77777777" w:rsidR="00920B2B" w:rsidRPr="00452CE4" w:rsidRDefault="00920B2B" w:rsidP="00165C20">
      <w:pPr>
        <w:pStyle w:val="ListParagraph"/>
        <w:numPr>
          <w:ilvl w:val="0"/>
          <w:numId w:val="4"/>
        </w:numPr>
        <w:spacing w:after="120"/>
        <w:ind w:left="714" w:hanging="357"/>
        <w:contextualSpacing w:val="0"/>
        <w:rPr>
          <w:rFonts w:ascii="Arial" w:hAnsi="Arial" w:cs="Arial"/>
          <w:sz w:val="22"/>
          <w:szCs w:val="22"/>
          <w:lang w:val="en-GB"/>
        </w:rPr>
      </w:pPr>
      <w:r w:rsidRPr="00452CE4">
        <w:rPr>
          <w:rFonts w:ascii="Arial" w:hAnsi="Arial" w:cs="Arial"/>
          <w:sz w:val="22"/>
          <w:szCs w:val="22"/>
          <w:lang w:val="en-GB"/>
        </w:rPr>
        <w:t>Complaints are responded to within local standard response time</w:t>
      </w:r>
      <w:r w:rsidR="00061A8D" w:rsidRPr="00452CE4">
        <w:rPr>
          <w:rFonts w:ascii="Arial" w:hAnsi="Arial" w:cs="Arial"/>
          <w:sz w:val="22"/>
          <w:szCs w:val="22"/>
          <w:lang w:val="en-GB"/>
        </w:rPr>
        <w:t>s</w:t>
      </w:r>
      <w:r w:rsidRPr="00452CE4">
        <w:rPr>
          <w:rFonts w:ascii="Arial" w:hAnsi="Arial" w:cs="Arial"/>
          <w:sz w:val="22"/>
          <w:szCs w:val="22"/>
          <w:lang w:val="en-GB"/>
        </w:rPr>
        <w:t xml:space="preserve"> of 35 </w:t>
      </w:r>
      <w:r w:rsidR="00061A8D" w:rsidRPr="00452CE4">
        <w:rPr>
          <w:rFonts w:ascii="Arial" w:hAnsi="Arial" w:cs="Arial"/>
          <w:sz w:val="22"/>
          <w:szCs w:val="22"/>
          <w:lang w:val="en-GB"/>
        </w:rPr>
        <w:t xml:space="preserve">or 65 </w:t>
      </w:r>
      <w:r w:rsidRPr="00452CE4">
        <w:rPr>
          <w:rFonts w:ascii="Arial" w:hAnsi="Arial" w:cs="Arial"/>
          <w:sz w:val="22"/>
          <w:szCs w:val="22"/>
          <w:lang w:val="en-GB"/>
        </w:rPr>
        <w:t>days</w:t>
      </w:r>
    </w:p>
    <w:p w14:paraId="5A315C56" w14:textId="77777777" w:rsidR="00920B2B" w:rsidRPr="00452CE4" w:rsidRDefault="00920B2B" w:rsidP="00165C20">
      <w:pPr>
        <w:pStyle w:val="ListParagraph"/>
        <w:numPr>
          <w:ilvl w:val="0"/>
          <w:numId w:val="4"/>
        </w:numPr>
        <w:spacing w:after="120"/>
        <w:ind w:left="714" w:hanging="357"/>
        <w:contextualSpacing w:val="0"/>
        <w:rPr>
          <w:rFonts w:ascii="Arial" w:hAnsi="Arial" w:cs="Arial"/>
          <w:sz w:val="22"/>
          <w:szCs w:val="22"/>
          <w:lang w:val="en-GB"/>
        </w:rPr>
      </w:pPr>
      <w:r w:rsidRPr="00452CE4">
        <w:rPr>
          <w:rFonts w:ascii="Arial" w:hAnsi="Arial" w:cs="Arial"/>
          <w:sz w:val="22"/>
          <w:szCs w:val="22"/>
          <w:lang w:val="en-GB"/>
        </w:rPr>
        <w:t>Where the timescale cannot be met, an explanation is provided and an extension agreed</w:t>
      </w:r>
    </w:p>
    <w:p w14:paraId="32B04628" w14:textId="77777777" w:rsidR="00963C5F" w:rsidRPr="00452CE4" w:rsidRDefault="00920B2B" w:rsidP="00165C20">
      <w:pPr>
        <w:pStyle w:val="ListParagraph"/>
        <w:numPr>
          <w:ilvl w:val="0"/>
          <w:numId w:val="4"/>
        </w:numPr>
        <w:spacing w:after="120"/>
        <w:ind w:left="714" w:hanging="357"/>
        <w:contextualSpacing w:val="0"/>
        <w:rPr>
          <w:rFonts w:ascii="Arial" w:hAnsi="Arial" w:cs="Arial"/>
          <w:sz w:val="22"/>
          <w:szCs w:val="22"/>
          <w:lang w:val="en-GB"/>
        </w:rPr>
      </w:pPr>
      <w:r w:rsidRPr="00452CE4">
        <w:rPr>
          <w:rFonts w:ascii="Arial" w:hAnsi="Arial" w:cs="Arial"/>
          <w:sz w:val="22"/>
          <w:szCs w:val="22"/>
          <w:lang w:val="en-GB"/>
        </w:rPr>
        <w:t>When a complaint is referred to the PHSO, all enquiries are responded to promptly and openly</w:t>
      </w:r>
    </w:p>
    <w:p w14:paraId="2F802A20" w14:textId="77777777" w:rsidR="0036353C" w:rsidRPr="00452CE4" w:rsidRDefault="0036353C" w:rsidP="00C81DB8">
      <w:pPr>
        <w:jc w:val="both"/>
        <w:rPr>
          <w:rFonts w:ascii="Arial" w:hAnsi="Arial" w:cs="Arial"/>
          <w:sz w:val="22"/>
          <w:szCs w:val="22"/>
          <w:lang w:val="en-GB"/>
        </w:rPr>
      </w:pPr>
    </w:p>
    <w:p w14:paraId="0A531D4C" w14:textId="56FABE26" w:rsidR="009F7A46" w:rsidRPr="00452CE4" w:rsidRDefault="00A82D30" w:rsidP="00C81DB8">
      <w:pPr>
        <w:jc w:val="both"/>
        <w:rPr>
          <w:rFonts w:ascii="Arial" w:hAnsi="Arial" w:cs="Arial"/>
          <w:sz w:val="22"/>
          <w:szCs w:val="22"/>
          <w:lang w:val="en-GB"/>
        </w:rPr>
      </w:pPr>
      <w:r>
        <w:rPr>
          <w:rFonts w:ascii="Arial" w:hAnsi="Arial" w:cs="Arial"/>
          <w:sz w:val="22"/>
          <w:szCs w:val="22"/>
          <w:lang w:val="en-GB"/>
        </w:rPr>
        <w:t>T</w:t>
      </w:r>
      <w:r w:rsidR="00061A8D" w:rsidRPr="00452CE4">
        <w:rPr>
          <w:rFonts w:ascii="Arial" w:hAnsi="Arial" w:cs="Arial"/>
          <w:sz w:val="22"/>
          <w:szCs w:val="22"/>
          <w:lang w:val="en-GB"/>
        </w:rPr>
        <w:t>he c</w:t>
      </w:r>
      <w:r>
        <w:rPr>
          <w:rFonts w:ascii="Arial" w:hAnsi="Arial" w:cs="Arial"/>
          <w:sz w:val="22"/>
          <w:szCs w:val="22"/>
          <w:lang w:val="en-GB"/>
        </w:rPr>
        <w:t>omplaints team consists</w:t>
      </w:r>
      <w:r w:rsidR="000C223A" w:rsidRPr="00452CE4">
        <w:rPr>
          <w:rFonts w:ascii="Arial" w:hAnsi="Arial" w:cs="Arial"/>
          <w:sz w:val="22"/>
          <w:szCs w:val="22"/>
          <w:lang w:val="en-GB"/>
        </w:rPr>
        <w:t xml:space="preserve"> </w:t>
      </w:r>
      <w:r>
        <w:rPr>
          <w:rFonts w:ascii="Arial" w:hAnsi="Arial" w:cs="Arial"/>
          <w:sz w:val="22"/>
          <w:szCs w:val="22"/>
          <w:lang w:val="en-GB"/>
        </w:rPr>
        <w:t xml:space="preserve">of </w:t>
      </w:r>
      <w:r w:rsidR="000C0BDF">
        <w:rPr>
          <w:rFonts w:ascii="Arial" w:hAnsi="Arial" w:cs="Arial"/>
          <w:sz w:val="22"/>
          <w:szCs w:val="22"/>
          <w:lang w:val="en-GB"/>
        </w:rPr>
        <w:t xml:space="preserve">0.3 WTE Head of Complaints, a </w:t>
      </w:r>
      <w:r>
        <w:rPr>
          <w:rFonts w:ascii="Arial" w:hAnsi="Arial" w:cs="Arial"/>
          <w:sz w:val="22"/>
          <w:szCs w:val="22"/>
          <w:lang w:val="en-GB"/>
        </w:rPr>
        <w:t xml:space="preserve">1WTE Band 7 Patient Safety Investigation Manager (Complaints), </w:t>
      </w:r>
      <w:r w:rsidR="007128B1">
        <w:rPr>
          <w:rFonts w:ascii="Arial" w:hAnsi="Arial" w:cs="Arial"/>
          <w:sz w:val="22"/>
          <w:szCs w:val="22"/>
          <w:lang w:val="en-GB"/>
        </w:rPr>
        <w:t>2.</w:t>
      </w:r>
      <w:r w:rsidR="00D74294" w:rsidRPr="00452CE4">
        <w:rPr>
          <w:rFonts w:ascii="Arial" w:hAnsi="Arial" w:cs="Arial"/>
          <w:sz w:val="22"/>
          <w:szCs w:val="22"/>
          <w:lang w:val="en-GB"/>
        </w:rPr>
        <w:t>8</w:t>
      </w:r>
      <w:r w:rsidR="000C223A" w:rsidRPr="00452CE4">
        <w:rPr>
          <w:rFonts w:ascii="Arial" w:hAnsi="Arial" w:cs="Arial"/>
          <w:sz w:val="22"/>
          <w:szCs w:val="22"/>
          <w:lang w:val="en-GB"/>
        </w:rPr>
        <w:t xml:space="preserve"> WTE</w:t>
      </w:r>
      <w:r w:rsidR="007D3975" w:rsidRPr="00452CE4">
        <w:rPr>
          <w:rFonts w:ascii="Arial" w:hAnsi="Arial" w:cs="Arial"/>
          <w:sz w:val="22"/>
          <w:szCs w:val="22"/>
          <w:lang w:val="en-GB"/>
        </w:rPr>
        <w:t xml:space="preserve"> </w:t>
      </w:r>
      <w:r>
        <w:rPr>
          <w:rFonts w:ascii="Arial" w:hAnsi="Arial" w:cs="Arial"/>
          <w:sz w:val="22"/>
          <w:szCs w:val="22"/>
          <w:lang w:val="en-GB"/>
        </w:rPr>
        <w:t>Band 6 Complaints M</w:t>
      </w:r>
      <w:r w:rsidR="00920B2B" w:rsidRPr="00452CE4">
        <w:rPr>
          <w:rFonts w:ascii="Arial" w:hAnsi="Arial" w:cs="Arial"/>
          <w:sz w:val="22"/>
          <w:szCs w:val="22"/>
          <w:lang w:val="en-GB"/>
        </w:rPr>
        <w:t xml:space="preserve">anagers; </w:t>
      </w:r>
      <w:r>
        <w:rPr>
          <w:rFonts w:ascii="Arial" w:hAnsi="Arial" w:cs="Arial"/>
          <w:sz w:val="22"/>
          <w:szCs w:val="22"/>
          <w:lang w:val="en-GB"/>
        </w:rPr>
        <w:t xml:space="preserve">who are </w:t>
      </w:r>
      <w:r w:rsidR="00920B2B" w:rsidRPr="00452CE4">
        <w:rPr>
          <w:rFonts w:ascii="Arial" w:hAnsi="Arial" w:cs="Arial"/>
          <w:sz w:val="22"/>
          <w:szCs w:val="22"/>
          <w:lang w:val="en-GB"/>
        </w:rPr>
        <w:t>responsible for the coordination of staff investigating and the final response to the complainant</w:t>
      </w:r>
      <w:r w:rsidR="0036353C" w:rsidRPr="00452CE4">
        <w:rPr>
          <w:rFonts w:ascii="Arial" w:hAnsi="Arial" w:cs="Arial"/>
          <w:sz w:val="22"/>
          <w:szCs w:val="22"/>
          <w:lang w:val="en-GB"/>
        </w:rPr>
        <w:t>,</w:t>
      </w:r>
      <w:r w:rsidR="00091872" w:rsidRPr="00452CE4">
        <w:rPr>
          <w:rFonts w:ascii="Arial" w:hAnsi="Arial" w:cs="Arial"/>
          <w:sz w:val="22"/>
          <w:szCs w:val="22"/>
          <w:lang w:val="en-GB"/>
        </w:rPr>
        <w:t xml:space="preserve"> </w:t>
      </w:r>
      <w:r w:rsidR="000C223A" w:rsidRPr="00452CE4">
        <w:rPr>
          <w:rFonts w:ascii="Arial" w:hAnsi="Arial" w:cs="Arial"/>
          <w:sz w:val="22"/>
          <w:szCs w:val="22"/>
          <w:lang w:val="en-GB"/>
        </w:rPr>
        <w:t>supported by 1WTE band 4</w:t>
      </w:r>
      <w:r w:rsidR="00920B2B" w:rsidRPr="00452CE4">
        <w:rPr>
          <w:rFonts w:ascii="Arial" w:hAnsi="Arial" w:cs="Arial"/>
          <w:sz w:val="22"/>
          <w:szCs w:val="22"/>
          <w:lang w:val="en-GB"/>
        </w:rPr>
        <w:t xml:space="preserve"> and </w:t>
      </w:r>
      <w:r w:rsidR="003F71D4">
        <w:rPr>
          <w:rFonts w:ascii="Arial" w:hAnsi="Arial" w:cs="Arial"/>
          <w:sz w:val="22"/>
          <w:szCs w:val="22"/>
          <w:lang w:val="en-GB"/>
        </w:rPr>
        <w:t>2</w:t>
      </w:r>
      <w:r w:rsidR="000C223A" w:rsidRPr="00452CE4">
        <w:rPr>
          <w:rFonts w:ascii="Arial" w:hAnsi="Arial" w:cs="Arial"/>
          <w:sz w:val="22"/>
          <w:szCs w:val="22"/>
          <w:lang w:val="en-GB"/>
        </w:rPr>
        <w:t>WTE</w:t>
      </w:r>
      <w:r w:rsidR="00920B2B" w:rsidRPr="00452CE4">
        <w:rPr>
          <w:rFonts w:ascii="Arial" w:hAnsi="Arial" w:cs="Arial"/>
          <w:sz w:val="22"/>
          <w:szCs w:val="22"/>
          <w:lang w:val="en-GB"/>
        </w:rPr>
        <w:t xml:space="preserve"> band </w:t>
      </w:r>
      <w:r w:rsidR="000C223A" w:rsidRPr="00452CE4">
        <w:rPr>
          <w:rFonts w:ascii="Arial" w:hAnsi="Arial" w:cs="Arial"/>
          <w:sz w:val="22"/>
          <w:szCs w:val="22"/>
          <w:lang w:val="en-GB"/>
        </w:rPr>
        <w:t>3</w:t>
      </w:r>
      <w:r w:rsidR="00920B2B" w:rsidRPr="00452CE4">
        <w:rPr>
          <w:rFonts w:ascii="Arial" w:hAnsi="Arial" w:cs="Arial"/>
          <w:sz w:val="22"/>
          <w:szCs w:val="22"/>
          <w:lang w:val="en-GB"/>
        </w:rPr>
        <w:t xml:space="preserve"> administrator</w:t>
      </w:r>
      <w:r w:rsidR="000C223A" w:rsidRPr="00452CE4">
        <w:rPr>
          <w:rFonts w:ascii="Arial" w:hAnsi="Arial" w:cs="Arial"/>
          <w:sz w:val="22"/>
          <w:szCs w:val="22"/>
          <w:lang w:val="en-GB"/>
        </w:rPr>
        <w:t>s</w:t>
      </w:r>
      <w:r w:rsidR="00920B2B" w:rsidRPr="00452CE4">
        <w:rPr>
          <w:rFonts w:ascii="Arial" w:hAnsi="Arial" w:cs="Arial"/>
          <w:sz w:val="22"/>
          <w:szCs w:val="22"/>
          <w:lang w:val="en-GB"/>
        </w:rPr>
        <w:t xml:space="preserve">. </w:t>
      </w:r>
    </w:p>
    <w:p w14:paraId="31979C31" w14:textId="77777777" w:rsidR="00A326E1" w:rsidRPr="00452CE4" w:rsidRDefault="00A326E1" w:rsidP="00C81DB8">
      <w:pPr>
        <w:jc w:val="both"/>
        <w:rPr>
          <w:rFonts w:ascii="Arial" w:hAnsi="Arial" w:cs="Arial"/>
          <w:sz w:val="22"/>
          <w:szCs w:val="22"/>
          <w:lang w:val="en-GB"/>
        </w:rPr>
      </w:pPr>
    </w:p>
    <w:p w14:paraId="204FC464" w14:textId="77777777" w:rsidR="00920B2B" w:rsidRPr="00452CE4" w:rsidRDefault="00920B2B" w:rsidP="00165C20">
      <w:pPr>
        <w:pStyle w:val="ListParagraph"/>
        <w:numPr>
          <w:ilvl w:val="0"/>
          <w:numId w:val="3"/>
        </w:numPr>
        <w:ind w:hanging="720"/>
        <w:rPr>
          <w:rFonts w:ascii="Arial" w:hAnsi="Arial" w:cs="Arial"/>
          <w:b/>
          <w:sz w:val="22"/>
          <w:szCs w:val="22"/>
          <w:lang w:val="en-GB"/>
        </w:rPr>
      </w:pPr>
      <w:r w:rsidRPr="00452CE4">
        <w:rPr>
          <w:rFonts w:ascii="Arial" w:hAnsi="Arial" w:cs="Arial"/>
          <w:b/>
          <w:sz w:val="22"/>
          <w:szCs w:val="22"/>
          <w:lang w:val="en-GB"/>
        </w:rPr>
        <w:t>Complaints reporting</w:t>
      </w:r>
      <w:r w:rsidR="000957FE" w:rsidRPr="00452CE4">
        <w:rPr>
          <w:rFonts w:ascii="Arial" w:hAnsi="Arial" w:cs="Arial"/>
          <w:b/>
          <w:sz w:val="22"/>
          <w:szCs w:val="22"/>
          <w:lang w:val="en-GB"/>
        </w:rPr>
        <w:t xml:space="preserve"> </w:t>
      </w:r>
    </w:p>
    <w:p w14:paraId="2F2DF9D6" w14:textId="77777777" w:rsidR="009F7A46" w:rsidRPr="00452CE4" w:rsidRDefault="009F7A46" w:rsidP="009F7A46">
      <w:pPr>
        <w:pStyle w:val="ListParagraph"/>
        <w:rPr>
          <w:rFonts w:ascii="Arial" w:hAnsi="Arial" w:cs="Arial"/>
          <w:b/>
          <w:sz w:val="22"/>
          <w:szCs w:val="22"/>
          <w:lang w:val="en-GB"/>
        </w:rPr>
      </w:pPr>
    </w:p>
    <w:p w14:paraId="11D6417D" w14:textId="31DF74BB" w:rsidR="003D10CE" w:rsidRPr="00452CE4" w:rsidRDefault="00A82D30" w:rsidP="0036353C">
      <w:pPr>
        <w:jc w:val="both"/>
        <w:rPr>
          <w:rFonts w:ascii="Arial" w:hAnsi="Arial" w:cs="Arial"/>
          <w:sz w:val="22"/>
          <w:szCs w:val="22"/>
          <w:lang w:val="en-GB"/>
        </w:rPr>
      </w:pPr>
      <w:r>
        <w:rPr>
          <w:rFonts w:ascii="Arial" w:hAnsi="Arial" w:cs="Arial"/>
          <w:sz w:val="22"/>
          <w:szCs w:val="22"/>
          <w:lang w:val="en-GB"/>
        </w:rPr>
        <w:t>In 202</w:t>
      </w:r>
      <w:r w:rsidR="009F17B7">
        <w:rPr>
          <w:rFonts w:ascii="Arial" w:hAnsi="Arial" w:cs="Arial"/>
          <w:sz w:val="22"/>
          <w:szCs w:val="22"/>
          <w:lang w:val="en-GB"/>
        </w:rPr>
        <w:t>4/2025</w:t>
      </w:r>
      <w:r w:rsidR="000957FE" w:rsidRPr="00452CE4">
        <w:rPr>
          <w:rFonts w:ascii="Arial" w:hAnsi="Arial" w:cs="Arial"/>
          <w:sz w:val="22"/>
          <w:szCs w:val="22"/>
          <w:lang w:val="en-GB"/>
        </w:rPr>
        <w:t xml:space="preserve">, </w:t>
      </w:r>
      <w:r w:rsidR="00920B2B" w:rsidRPr="00452CE4">
        <w:rPr>
          <w:rFonts w:ascii="Arial" w:hAnsi="Arial" w:cs="Arial"/>
          <w:sz w:val="22"/>
          <w:szCs w:val="22"/>
          <w:lang w:val="en-GB"/>
        </w:rPr>
        <w:t xml:space="preserve">the </w:t>
      </w:r>
      <w:r w:rsidR="003F71D4">
        <w:rPr>
          <w:rFonts w:ascii="Arial" w:hAnsi="Arial" w:cs="Arial"/>
          <w:sz w:val="22"/>
          <w:szCs w:val="22"/>
          <w:lang w:val="en-GB"/>
        </w:rPr>
        <w:t xml:space="preserve">Associate Director of Safety (Investigation and Family Support) </w:t>
      </w:r>
      <w:r w:rsidR="000957FE" w:rsidRPr="00452CE4">
        <w:rPr>
          <w:rFonts w:ascii="Arial" w:hAnsi="Arial" w:cs="Arial"/>
          <w:sz w:val="22"/>
          <w:szCs w:val="22"/>
          <w:lang w:val="en-GB"/>
        </w:rPr>
        <w:t>reported</w:t>
      </w:r>
      <w:r w:rsidR="003D10CE" w:rsidRPr="00452CE4">
        <w:rPr>
          <w:rFonts w:ascii="Arial" w:hAnsi="Arial" w:cs="Arial"/>
          <w:sz w:val="22"/>
          <w:szCs w:val="22"/>
          <w:lang w:val="en-GB"/>
        </w:rPr>
        <w:t xml:space="preserve"> the following information to the Qu</w:t>
      </w:r>
      <w:r w:rsidR="000957FE" w:rsidRPr="00452CE4">
        <w:rPr>
          <w:rFonts w:ascii="Arial" w:hAnsi="Arial" w:cs="Arial"/>
          <w:sz w:val="22"/>
          <w:szCs w:val="22"/>
          <w:lang w:val="en-GB"/>
        </w:rPr>
        <w:t>ality and Performance Committee</w:t>
      </w:r>
      <w:r w:rsidR="00FB1D9B" w:rsidRPr="00452CE4">
        <w:rPr>
          <w:rFonts w:ascii="Arial" w:hAnsi="Arial" w:cs="Arial"/>
          <w:sz w:val="22"/>
          <w:szCs w:val="22"/>
          <w:lang w:val="en-GB"/>
        </w:rPr>
        <w:t xml:space="preserve"> monthly</w:t>
      </w:r>
      <w:r w:rsidR="000957FE" w:rsidRPr="00452CE4">
        <w:rPr>
          <w:rFonts w:ascii="Arial" w:hAnsi="Arial" w:cs="Arial"/>
          <w:sz w:val="22"/>
          <w:szCs w:val="22"/>
          <w:lang w:val="en-GB"/>
        </w:rPr>
        <w:t>:</w:t>
      </w:r>
    </w:p>
    <w:p w14:paraId="639B1B78" w14:textId="77777777" w:rsidR="009F7A46" w:rsidRPr="00452CE4" w:rsidRDefault="009F7A46" w:rsidP="00920B2B">
      <w:pPr>
        <w:rPr>
          <w:rFonts w:ascii="Arial" w:hAnsi="Arial" w:cs="Arial"/>
          <w:sz w:val="22"/>
          <w:szCs w:val="22"/>
          <w:lang w:val="en-GB"/>
        </w:rPr>
      </w:pPr>
    </w:p>
    <w:p w14:paraId="5079BA3C" w14:textId="77777777" w:rsidR="00920B2B" w:rsidRPr="00452CE4" w:rsidRDefault="003D10CE" w:rsidP="00165C20">
      <w:pPr>
        <w:pStyle w:val="ListParagraph"/>
        <w:numPr>
          <w:ilvl w:val="0"/>
          <w:numId w:val="5"/>
        </w:numPr>
        <w:spacing w:after="120"/>
        <w:ind w:left="714" w:hanging="357"/>
        <w:contextualSpacing w:val="0"/>
        <w:rPr>
          <w:rFonts w:ascii="Arial" w:hAnsi="Arial" w:cs="Arial"/>
          <w:sz w:val="22"/>
          <w:szCs w:val="22"/>
          <w:lang w:val="en-GB"/>
        </w:rPr>
      </w:pPr>
      <w:r w:rsidRPr="00452CE4">
        <w:rPr>
          <w:rFonts w:ascii="Arial" w:hAnsi="Arial" w:cs="Arial"/>
          <w:sz w:val="22"/>
          <w:szCs w:val="22"/>
          <w:lang w:val="en-GB"/>
        </w:rPr>
        <w:t>Number of written complaints received per 1000 episodes of care and broken down by division</w:t>
      </w:r>
    </w:p>
    <w:p w14:paraId="68EA825C" w14:textId="77777777" w:rsidR="00137F0E" w:rsidRPr="00452CE4" w:rsidRDefault="003D10CE" w:rsidP="00165C20">
      <w:pPr>
        <w:pStyle w:val="ListParagraph"/>
        <w:numPr>
          <w:ilvl w:val="0"/>
          <w:numId w:val="5"/>
        </w:numPr>
        <w:spacing w:after="120"/>
        <w:ind w:left="714" w:hanging="357"/>
        <w:contextualSpacing w:val="0"/>
        <w:rPr>
          <w:rFonts w:ascii="Arial" w:hAnsi="Arial" w:cs="Arial"/>
          <w:sz w:val="22"/>
          <w:szCs w:val="22"/>
          <w:lang w:val="en-GB"/>
        </w:rPr>
      </w:pPr>
      <w:r w:rsidRPr="00452CE4">
        <w:rPr>
          <w:rFonts w:ascii="Arial" w:hAnsi="Arial" w:cs="Arial"/>
          <w:sz w:val="22"/>
          <w:szCs w:val="22"/>
          <w:lang w:val="en-GB"/>
        </w:rPr>
        <w:t>Number of PHSO cases received during the quarter and the resolution during tha</w:t>
      </w:r>
      <w:r w:rsidR="00FB1D9B" w:rsidRPr="00452CE4">
        <w:rPr>
          <w:rFonts w:ascii="Arial" w:hAnsi="Arial" w:cs="Arial"/>
          <w:sz w:val="22"/>
          <w:szCs w:val="22"/>
          <w:lang w:val="en-GB"/>
        </w:rPr>
        <w:t>t quarter of any existing cases</w:t>
      </w:r>
    </w:p>
    <w:p w14:paraId="6C4054C5" w14:textId="77777777" w:rsidR="00530391" w:rsidRPr="00452CE4" w:rsidRDefault="00137F0E" w:rsidP="0019112D">
      <w:pPr>
        <w:spacing w:after="120"/>
        <w:jc w:val="both"/>
        <w:rPr>
          <w:rFonts w:ascii="Arial" w:hAnsi="Arial" w:cs="Arial"/>
          <w:sz w:val="22"/>
          <w:szCs w:val="22"/>
          <w:lang w:val="en-GB"/>
        </w:rPr>
      </w:pPr>
      <w:r w:rsidRPr="00452CE4">
        <w:rPr>
          <w:rFonts w:ascii="Arial" w:hAnsi="Arial" w:cs="Arial"/>
          <w:sz w:val="22"/>
          <w:szCs w:val="22"/>
          <w:lang w:val="en-GB"/>
        </w:rPr>
        <w:t xml:space="preserve">The </w:t>
      </w:r>
      <w:r w:rsidR="00530391" w:rsidRPr="00452CE4">
        <w:rPr>
          <w:rFonts w:ascii="Arial" w:hAnsi="Arial" w:cs="Arial"/>
          <w:sz w:val="22"/>
          <w:szCs w:val="22"/>
          <w:lang w:val="en-GB"/>
        </w:rPr>
        <w:t xml:space="preserve">Annual </w:t>
      </w:r>
      <w:r w:rsidR="00CE5119" w:rsidRPr="00452CE4">
        <w:rPr>
          <w:rFonts w:ascii="Arial" w:hAnsi="Arial" w:cs="Arial"/>
          <w:sz w:val="22"/>
          <w:szCs w:val="22"/>
          <w:lang w:val="en-GB"/>
        </w:rPr>
        <w:t xml:space="preserve">Complaints </w:t>
      </w:r>
      <w:r w:rsidR="00530391" w:rsidRPr="00452CE4">
        <w:rPr>
          <w:rFonts w:ascii="Arial" w:hAnsi="Arial" w:cs="Arial"/>
          <w:sz w:val="22"/>
          <w:szCs w:val="22"/>
          <w:lang w:val="en-GB"/>
        </w:rPr>
        <w:t xml:space="preserve">Report will be received by the Quality and Performance Committee and this report will be published in the public domain via the Trust website. </w:t>
      </w:r>
    </w:p>
    <w:p w14:paraId="7B0106B2" w14:textId="7E03AFBD" w:rsidR="00530391" w:rsidRDefault="00530391" w:rsidP="0019112D">
      <w:pPr>
        <w:spacing w:after="120"/>
        <w:jc w:val="both"/>
        <w:rPr>
          <w:rFonts w:ascii="Arial" w:hAnsi="Arial" w:cs="Arial"/>
          <w:sz w:val="22"/>
          <w:szCs w:val="22"/>
          <w:lang w:val="en-GB"/>
        </w:rPr>
      </w:pPr>
      <w:r w:rsidRPr="00452CE4">
        <w:rPr>
          <w:rFonts w:ascii="Arial" w:hAnsi="Arial" w:cs="Arial"/>
          <w:sz w:val="22"/>
          <w:szCs w:val="22"/>
          <w:lang w:val="en-GB"/>
        </w:rPr>
        <w:t xml:space="preserve">The Safety and Experience Review Group will </w:t>
      </w:r>
      <w:r w:rsidR="00CE5119" w:rsidRPr="00452CE4">
        <w:rPr>
          <w:rFonts w:ascii="Arial" w:hAnsi="Arial" w:cs="Arial"/>
          <w:sz w:val="22"/>
          <w:szCs w:val="22"/>
          <w:lang w:val="en-GB"/>
        </w:rPr>
        <w:t xml:space="preserve">continue to </w:t>
      </w:r>
      <w:r w:rsidRPr="00452CE4">
        <w:rPr>
          <w:rFonts w:ascii="Arial" w:hAnsi="Arial" w:cs="Arial"/>
          <w:sz w:val="22"/>
          <w:szCs w:val="22"/>
          <w:lang w:val="en-GB"/>
        </w:rPr>
        <w:t xml:space="preserve">monitor </w:t>
      </w:r>
      <w:r w:rsidR="00CE5119" w:rsidRPr="00452CE4">
        <w:rPr>
          <w:rFonts w:ascii="Arial" w:hAnsi="Arial" w:cs="Arial"/>
          <w:sz w:val="22"/>
          <w:szCs w:val="22"/>
          <w:lang w:val="en-GB"/>
        </w:rPr>
        <w:t xml:space="preserve">action plans arising from </w:t>
      </w:r>
      <w:r w:rsidR="004D49B6">
        <w:rPr>
          <w:rFonts w:ascii="Arial" w:hAnsi="Arial" w:cs="Arial"/>
          <w:sz w:val="22"/>
          <w:szCs w:val="22"/>
          <w:lang w:val="en-GB"/>
        </w:rPr>
        <w:t>complex</w:t>
      </w:r>
      <w:r w:rsidR="00CE5119" w:rsidRPr="00452CE4">
        <w:rPr>
          <w:rFonts w:ascii="Arial" w:hAnsi="Arial" w:cs="Arial"/>
          <w:sz w:val="22"/>
          <w:szCs w:val="22"/>
          <w:lang w:val="en-GB"/>
        </w:rPr>
        <w:t xml:space="preserve"> </w:t>
      </w:r>
      <w:r w:rsidR="000113DA" w:rsidRPr="00452CE4">
        <w:rPr>
          <w:rFonts w:ascii="Arial" w:hAnsi="Arial" w:cs="Arial"/>
          <w:sz w:val="22"/>
          <w:szCs w:val="22"/>
          <w:lang w:val="en-GB"/>
        </w:rPr>
        <w:t xml:space="preserve">complaints </w:t>
      </w:r>
      <w:r w:rsidR="00CE5119" w:rsidRPr="00452CE4">
        <w:rPr>
          <w:rFonts w:ascii="Arial" w:hAnsi="Arial" w:cs="Arial"/>
          <w:sz w:val="22"/>
          <w:szCs w:val="22"/>
          <w:lang w:val="en-GB"/>
        </w:rPr>
        <w:t xml:space="preserve">and those reported to the PHSO </w:t>
      </w:r>
      <w:r w:rsidR="000113DA" w:rsidRPr="00452CE4">
        <w:rPr>
          <w:rFonts w:ascii="Arial" w:hAnsi="Arial" w:cs="Arial"/>
          <w:sz w:val="22"/>
          <w:szCs w:val="22"/>
          <w:lang w:val="en-GB"/>
        </w:rPr>
        <w:t xml:space="preserve">on a monthly basis. </w:t>
      </w:r>
      <w:r w:rsidR="00764B82">
        <w:rPr>
          <w:rFonts w:ascii="Arial" w:hAnsi="Arial" w:cs="Arial"/>
          <w:sz w:val="22"/>
          <w:szCs w:val="22"/>
          <w:lang w:val="en-GB"/>
        </w:rPr>
        <w:t xml:space="preserve">Action plans are developed </w:t>
      </w:r>
      <w:r w:rsidR="00C56D9B">
        <w:rPr>
          <w:rFonts w:ascii="Arial" w:hAnsi="Arial" w:cs="Arial"/>
          <w:sz w:val="22"/>
          <w:szCs w:val="22"/>
          <w:lang w:val="en-GB"/>
        </w:rPr>
        <w:t xml:space="preserve">in collaboration </w:t>
      </w:r>
      <w:r w:rsidR="00764B82">
        <w:rPr>
          <w:rFonts w:ascii="Arial" w:hAnsi="Arial" w:cs="Arial"/>
          <w:sz w:val="22"/>
          <w:szCs w:val="22"/>
          <w:lang w:val="en-GB"/>
        </w:rPr>
        <w:t xml:space="preserve">with the Division\Specialty. </w:t>
      </w:r>
    </w:p>
    <w:p w14:paraId="01245FBC" w14:textId="77777777" w:rsidR="00FA5A12" w:rsidRDefault="00FA5A12" w:rsidP="0019112D">
      <w:pPr>
        <w:jc w:val="both"/>
        <w:rPr>
          <w:rFonts w:ascii="Arial" w:hAnsi="Arial" w:cs="Arial"/>
          <w:sz w:val="22"/>
          <w:szCs w:val="22"/>
          <w:lang w:val="en-GB"/>
        </w:rPr>
      </w:pPr>
    </w:p>
    <w:p w14:paraId="6B7950F0" w14:textId="77777777" w:rsidR="00FA5A12" w:rsidRDefault="00FA5A12" w:rsidP="0019112D">
      <w:pPr>
        <w:jc w:val="both"/>
        <w:rPr>
          <w:rFonts w:ascii="Arial" w:hAnsi="Arial" w:cs="Arial"/>
          <w:sz w:val="22"/>
          <w:szCs w:val="22"/>
          <w:lang w:val="en-GB"/>
        </w:rPr>
      </w:pPr>
    </w:p>
    <w:p w14:paraId="60273064" w14:textId="77777777" w:rsidR="000C0BDF" w:rsidRDefault="000C0BDF" w:rsidP="0019112D">
      <w:pPr>
        <w:jc w:val="both"/>
        <w:rPr>
          <w:rFonts w:ascii="Arial" w:hAnsi="Arial" w:cs="Arial"/>
          <w:sz w:val="22"/>
          <w:szCs w:val="22"/>
          <w:lang w:val="en-GB"/>
        </w:rPr>
      </w:pPr>
    </w:p>
    <w:p w14:paraId="56814AC1" w14:textId="77777777" w:rsidR="000C0BDF" w:rsidRDefault="000C0BDF" w:rsidP="0019112D">
      <w:pPr>
        <w:jc w:val="both"/>
        <w:rPr>
          <w:rFonts w:ascii="Arial" w:hAnsi="Arial" w:cs="Arial"/>
          <w:sz w:val="22"/>
          <w:szCs w:val="22"/>
          <w:lang w:val="en-GB"/>
        </w:rPr>
      </w:pPr>
    </w:p>
    <w:p w14:paraId="419E8EDD" w14:textId="77777777" w:rsidR="000C0BDF" w:rsidRPr="00452CE4" w:rsidRDefault="000C0BDF" w:rsidP="0019112D">
      <w:pPr>
        <w:jc w:val="both"/>
        <w:rPr>
          <w:rFonts w:ascii="Arial" w:hAnsi="Arial" w:cs="Arial"/>
          <w:sz w:val="22"/>
          <w:szCs w:val="22"/>
          <w:lang w:val="en-GB"/>
        </w:rPr>
      </w:pPr>
    </w:p>
    <w:p w14:paraId="2822F662" w14:textId="781FE33C" w:rsidR="003D10CE" w:rsidRPr="00452CE4" w:rsidRDefault="00C722FB" w:rsidP="00165C20">
      <w:pPr>
        <w:pStyle w:val="ListParagraph"/>
        <w:numPr>
          <w:ilvl w:val="0"/>
          <w:numId w:val="3"/>
        </w:numPr>
        <w:ind w:hanging="720"/>
        <w:jc w:val="both"/>
        <w:rPr>
          <w:rFonts w:ascii="Arial" w:hAnsi="Arial" w:cs="Arial"/>
          <w:b/>
          <w:sz w:val="22"/>
          <w:szCs w:val="22"/>
          <w:lang w:val="en-GB"/>
        </w:rPr>
      </w:pPr>
      <w:r w:rsidRPr="00452CE4">
        <w:rPr>
          <w:rFonts w:ascii="Arial" w:hAnsi="Arial" w:cs="Arial"/>
          <w:b/>
          <w:sz w:val="22"/>
          <w:szCs w:val="22"/>
          <w:lang w:val="en-GB"/>
        </w:rPr>
        <w:t>T</w:t>
      </w:r>
      <w:r w:rsidR="004E2C7E">
        <w:rPr>
          <w:rFonts w:ascii="Arial" w:hAnsi="Arial" w:cs="Arial"/>
          <w:b/>
          <w:sz w:val="22"/>
          <w:szCs w:val="22"/>
          <w:lang w:val="en-GB"/>
        </w:rPr>
        <w:t xml:space="preserve">otal </w:t>
      </w:r>
      <w:r w:rsidR="00950F24">
        <w:rPr>
          <w:rFonts w:ascii="Arial" w:hAnsi="Arial" w:cs="Arial"/>
          <w:b/>
          <w:sz w:val="22"/>
          <w:szCs w:val="22"/>
          <w:lang w:val="en-GB"/>
        </w:rPr>
        <w:t>C</w:t>
      </w:r>
      <w:r w:rsidR="004E2C7E">
        <w:rPr>
          <w:rFonts w:ascii="Arial" w:hAnsi="Arial" w:cs="Arial"/>
          <w:b/>
          <w:sz w:val="22"/>
          <w:szCs w:val="22"/>
          <w:lang w:val="en-GB"/>
        </w:rPr>
        <w:t xml:space="preserve">omplaints </w:t>
      </w:r>
      <w:r w:rsidR="00950F24">
        <w:rPr>
          <w:rFonts w:ascii="Arial" w:hAnsi="Arial" w:cs="Arial"/>
          <w:b/>
          <w:sz w:val="22"/>
          <w:szCs w:val="22"/>
          <w:lang w:val="en-GB"/>
        </w:rPr>
        <w:t>R</w:t>
      </w:r>
      <w:r w:rsidR="004E2C7E">
        <w:rPr>
          <w:rFonts w:ascii="Arial" w:hAnsi="Arial" w:cs="Arial"/>
          <w:b/>
          <w:sz w:val="22"/>
          <w:szCs w:val="22"/>
          <w:lang w:val="en-GB"/>
        </w:rPr>
        <w:t>eceived in 202</w:t>
      </w:r>
      <w:r w:rsidR="00C66679">
        <w:rPr>
          <w:rFonts w:ascii="Arial" w:hAnsi="Arial" w:cs="Arial"/>
          <w:b/>
          <w:sz w:val="22"/>
          <w:szCs w:val="22"/>
          <w:lang w:val="en-GB"/>
        </w:rPr>
        <w:t>4</w:t>
      </w:r>
      <w:r w:rsidR="004E2C7E">
        <w:rPr>
          <w:rFonts w:ascii="Arial" w:hAnsi="Arial" w:cs="Arial"/>
          <w:b/>
          <w:sz w:val="22"/>
          <w:szCs w:val="22"/>
          <w:lang w:val="en-GB"/>
        </w:rPr>
        <w:t>/2</w:t>
      </w:r>
      <w:r w:rsidR="00C66679">
        <w:rPr>
          <w:rFonts w:ascii="Arial" w:hAnsi="Arial" w:cs="Arial"/>
          <w:b/>
          <w:sz w:val="22"/>
          <w:szCs w:val="22"/>
          <w:lang w:val="en-GB"/>
        </w:rPr>
        <w:t>5</w:t>
      </w:r>
    </w:p>
    <w:p w14:paraId="27832E71" w14:textId="5CA03808" w:rsidR="000C3A32" w:rsidRDefault="000C3A32" w:rsidP="0019112D">
      <w:pPr>
        <w:jc w:val="both"/>
        <w:rPr>
          <w:rFonts w:ascii="Arial" w:hAnsi="Arial" w:cs="Arial"/>
          <w:sz w:val="22"/>
          <w:szCs w:val="22"/>
          <w:lang w:val="en-GB"/>
        </w:rPr>
      </w:pPr>
    </w:p>
    <w:p w14:paraId="1AC11A98" w14:textId="5A4F0548" w:rsidR="006317C3" w:rsidRDefault="00135FB2" w:rsidP="0019112D">
      <w:pPr>
        <w:jc w:val="both"/>
        <w:rPr>
          <w:rFonts w:ascii="Arial" w:hAnsi="Arial" w:cs="Arial"/>
          <w:sz w:val="22"/>
          <w:szCs w:val="22"/>
          <w:lang w:val="en-GB"/>
        </w:rPr>
      </w:pPr>
      <w:r w:rsidRPr="00135FB2">
        <w:rPr>
          <w:rFonts w:ascii="Arial" w:hAnsi="Arial" w:cs="Arial"/>
          <w:sz w:val="22"/>
          <w:szCs w:val="22"/>
          <w:lang w:val="en-GB"/>
        </w:rPr>
        <w:t>1075 complaints were received by the Trust during 2024/2025 giving an average of 89.5 complaints per month. This number compares to 1087 during 2023/2024; an average increase of 1 complaint per month</w:t>
      </w:r>
      <w:r w:rsidR="006317C3">
        <w:rPr>
          <w:rFonts w:ascii="Arial" w:hAnsi="Arial" w:cs="Arial"/>
          <w:sz w:val="22"/>
          <w:szCs w:val="22"/>
          <w:lang w:val="en-GB"/>
        </w:rPr>
        <w:t>.</w:t>
      </w:r>
    </w:p>
    <w:p w14:paraId="5619F5A4" w14:textId="77777777" w:rsidR="000C3A32" w:rsidRDefault="000C3A32" w:rsidP="0019112D">
      <w:pPr>
        <w:jc w:val="both"/>
        <w:rPr>
          <w:rFonts w:ascii="Arial" w:hAnsi="Arial" w:cs="Arial"/>
          <w:sz w:val="22"/>
          <w:szCs w:val="22"/>
          <w:lang w:val="en-GB"/>
        </w:rPr>
      </w:pPr>
    </w:p>
    <w:p w14:paraId="66B0F54A" w14:textId="1E55A14E" w:rsidR="0036353C" w:rsidRDefault="00084590" w:rsidP="0019112D">
      <w:pPr>
        <w:jc w:val="both"/>
        <w:rPr>
          <w:rFonts w:ascii="Arial" w:hAnsi="Arial" w:cs="Arial"/>
          <w:sz w:val="22"/>
          <w:szCs w:val="22"/>
          <w:lang w:val="en-GB"/>
        </w:rPr>
      </w:pPr>
      <w:r>
        <w:rPr>
          <w:rFonts w:ascii="Arial" w:hAnsi="Arial" w:cs="Arial"/>
          <w:sz w:val="22"/>
          <w:szCs w:val="22"/>
          <w:lang w:val="en-GB"/>
        </w:rPr>
        <w:t>Figure 1 below provides a breakdown of the number of complaints received per quarter over the last three financial years.</w:t>
      </w:r>
    </w:p>
    <w:p w14:paraId="5C1F0345" w14:textId="77777777" w:rsidR="00465B6C" w:rsidRDefault="00465B6C" w:rsidP="0019112D">
      <w:pPr>
        <w:jc w:val="both"/>
        <w:rPr>
          <w:rFonts w:ascii="Arial" w:hAnsi="Arial" w:cs="Arial"/>
          <w:sz w:val="22"/>
          <w:szCs w:val="22"/>
          <w:lang w:val="en-GB"/>
        </w:rPr>
      </w:pPr>
    </w:p>
    <w:p w14:paraId="448AA80C" w14:textId="165DBC23" w:rsidR="00084590" w:rsidRDefault="00084590" w:rsidP="0019112D">
      <w:pPr>
        <w:jc w:val="both"/>
        <w:rPr>
          <w:rFonts w:ascii="Arial" w:hAnsi="Arial" w:cs="Arial"/>
          <w:sz w:val="22"/>
          <w:szCs w:val="22"/>
          <w:lang w:val="en-GB"/>
        </w:rPr>
      </w:pPr>
    </w:p>
    <w:p w14:paraId="55193141" w14:textId="11048CEE" w:rsidR="00184061" w:rsidRDefault="00084590" w:rsidP="002911A9">
      <w:pPr>
        <w:jc w:val="both"/>
        <w:rPr>
          <w:rFonts w:ascii="Arial" w:hAnsi="Arial" w:cs="Arial"/>
          <w:b/>
          <w:bCs/>
          <w:sz w:val="22"/>
          <w:szCs w:val="22"/>
          <w:u w:val="single"/>
          <w:lang w:val="en-GB"/>
        </w:rPr>
      </w:pPr>
      <w:r w:rsidRPr="00465B6C">
        <w:rPr>
          <w:rFonts w:ascii="Arial" w:hAnsi="Arial" w:cs="Arial"/>
          <w:b/>
          <w:bCs/>
          <w:sz w:val="22"/>
          <w:szCs w:val="22"/>
          <w:u w:val="single"/>
          <w:lang w:val="en-GB"/>
        </w:rPr>
        <w:t>Figure 1</w:t>
      </w:r>
    </w:p>
    <w:p w14:paraId="393DDF63" w14:textId="77777777" w:rsidR="00625EEF" w:rsidRPr="00625EEF" w:rsidRDefault="00625EEF" w:rsidP="0019112D">
      <w:pPr>
        <w:jc w:val="both"/>
        <w:rPr>
          <w:rFonts w:ascii="Arial" w:hAnsi="Arial" w:cs="Arial"/>
          <w:b/>
          <w:bCs/>
          <w:sz w:val="22"/>
          <w:szCs w:val="22"/>
          <w:u w:val="single"/>
          <w:lang w:val="en-GB"/>
        </w:rPr>
      </w:pPr>
    </w:p>
    <w:p w14:paraId="21485C3E" w14:textId="1883B09A" w:rsidR="00117D49" w:rsidRDefault="00117D49" w:rsidP="00625EEF">
      <w:pPr>
        <w:jc w:val="center"/>
        <w:rPr>
          <w:noProof/>
        </w:rPr>
      </w:pPr>
    </w:p>
    <w:p w14:paraId="3216F648" w14:textId="679AA4E7" w:rsidR="00311BDC" w:rsidRDefault="00465B6C" w:rsidP="00465B6C">
      <w:pPr>
        <w:jc w:val="center"/>
        <w:rPr>
          <w:rFonts w:ascii="Arial" w:hAnsi="Arial" w:cs="Arial"/>
          <w:sz w:val="22"/>
          <w:szCs w:val="22"/>
          <w:lang w:val="en-GB"/>
        </w:rPr>
      </w:pPr>
      <w:r>
        <w:rPr>
          <w:noProof/>
        </w:rPr>
        <w:drawing>
          <wp:inline distT="0" distB="0" distL="0" distR="0" wp14:anchorId="32B52250" wp14:editId="1562292A">
            <wp:extent cx="5784850" cy="2711450"/>
            <wp:effectExtent l="0" t="0" r="6350" b="12700"/>
            <wp:docPr id="1734481464" name="Chart 1">
              <a:extLst xmlns:a="http://schemas.openxmlformats.org/drawingml/2006/main">
                <a:ext uri="{FF2B5EF4-FFF2-40B4-BE49-F238E27FC236}">
                  <a16:creationId xmlns:a16="http://schemas.microsoft.com/office/drawing/2014/main" id="{A1C1DFEB-1187-6888-A893-31F9A38CDA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DBF15B0" w14:textId="0E9019A7" w:rsidR="004E2C7E" w:rsidRDefault="004E2C7E" w:rsidP="00184061">
      <w:pPr>
        <w:jc w:val="center"/>
        <w:rPr>
          <w:rFonts w:ascii="Arial" w:hAnsi="Arial" w:cs="Arial"/>
          <w:sz w:val="22"/>
          <w:szCs w:val="22"/>
          <w:lang w:val="en-GB"/>
        </w:rPr>
      </w:pPr>
    </w:p>
    <w:p w14:paraId="16AFD9CE" w14:textId="777D471A" w:rsidR="004E2C7E" w:rsidRDefault="004E2C7E" w:rsidP="0019112D">
      <w:pPr>
        <w:jc w:val="both"/>
        <w:rPr>
          <w:rFonts w:ascii="Arial" w:hAnsi="Arial" w:cs="Arial"/>
          <w:sz w:val="22"/>
          <w:szCs w:val="22"/>
          <w:lang w:val="en-GB"/>
        </w:rPr>
      </w:pPr>
    </w:p>
    <w:tbl>
      <w:tblPr>
        <w:tblStyle w:val="TableGrid"/>
        <w:tblW w:w="10774" w:type="dxa"/>
        <w:tblInd w:w="-431" w:type="dxa"/>
        <w:tblLook w:val="04A0" w:firstRow="1" w:lastRow="0" w:firstColumn="1" w:lastColumn="0" w:noHBand="0" w:noVBand="1"/>
      </w:tblPr>
      <w:tblGrid>
        <w:gridCol w:w="1527"/>
        <w:gridCol w:w="833"/>
        <w:gridCol w:w="832"/>
        <w:gridCol w:w="694"/>
        <w:gridCol w:w="767"/>
        <w:gridCol w:w="775"/>
        <w:gridCol w:w="833"/>
        <w:gridCol w:w="767"/>
        <w:gridCol w:w="775"/>
        <w:gridCol w:w="767"/>
        <w:gridCol w:w="669"/>
        <w:gridCol w:w="767"/>
        <w:gridCol w:w="768"/>
      </w:tblGrid>
      <w:tr w:rsidR="00E00CEF" w:rsidRPr="002911A9" w14:paraId="3D4CADCC" w14:textId="77777777" w:rsidTr="00D037D4">
        <w:trPr>
          <w:trHeight w:val="351"/>
        </w:trPr>
        <w:tc>
          <w:tcPr>
            <w:tcW w:w="3886" w:type="dxa"/>
            <w:gridSpan w:val="4"/>
            <w:shd w:val="clear" w:color="auto" w:fill="4F81BD" w:themeFill="accent1"/>
            <w:noWrap/>
            <w:hideMark/>
          </w:tcPr>
          <w:p w14:paraId="1E1686E9" w14:textId="77777777" w:rsidR="002911A9" w:rsidRPr="002911A9" w:rsidRDefault="002911A9" w:rsidP="002911A9">
            <w:pPr>
              <w:jc w:val="both"/>
              <w:rPr>
                <w:rFonts w:ascii="Arial" w:hAnsi="Arial" w:cs="Arial"/>
                <w:b/>
                <w:bCs/>
                <w:sz w:val="22"/>
                <w:szCs w:val="22"/>
                <w:lang w:val="en-GB"/>
              </w:rPr>
            </w:pPr>
            <w:r w:rsidRPr="002911A9">
              <w:rPr>
                <w:rFonts w:ascii="Arial" w:hAnsi="Arial" w:cs="Arial"/>
                <w:b/>
                <w:bCs/>
                <w:sz w:val="22"/>
                <w:szCs w:val="22"/>
              </w:rPr>
              <w:t>Complaints per 10,000 Contacts</w:t>
            </w:r>
          </w:p>
        </w:tc>
        <w:tc>
          <w:tcPr>
            <w:tcW w:w="767" w:type="dxa"/>
            <w:shd w:val="clear" w:color="auto" w:fill="4F81BD" w:themeFill="accent1"/>
            <w:noWrap/>
            <w:hideMark/>
          </w:tcPr>
          <w:p w14:paraId="61424DB1"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 </w:t>
            </w:r>
          </w:p>
        </w:tc>
        <w:tc>
          <w:tcPr>
            <w:tcW w:w="775" w:type="dxa"/>
            <w:shd w:val="clear" w:color="auto" w:fill="4F81BD" w:themeFill="accent1"/>
            <w:noWrap/>
            <w:hideMark/>
          </w:tcPr>
          <w:p w14:paraId="47AB7038"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 </w:t>
            </w:r>
          </w:p>
        </w:tc>
        <w:tc>
          <w:tcPr>
            <w:tcW w:w="833" w:type="dxa"/>
            <w:shd w:val="clear" w:color="auto" w:fill="4F81BD" w:themeFill="accent1"/>
            <w:noWrap/>
            <w:hideMark/>
          </w:tcPr>
          <w:p w14:paraId="16FCE3EC"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 </w:t>
            </w:r>
          </w:p>
        </w:tc>
        <w:tc>
          <w:tcPr>
            <w:tcW w:w="767" w:type="dxa"/>
            <w:shd w:val="clear" w:color="auto" w:fill="4F81BD" w:themeFill="accent1"/>
            <w:noWrap/>
            <w:hideMark/>
          </w:tcPr>
          <w:p w14:paraId="7EC08476"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 </w:t>
            </w:r>
          </w:p>
        </w:tc>
        <w:tc>
          <w:tcPr>
            <w:tcW w:w="775" w:type="dxa"/>
            <w:shd w:val="clear" w:color="auto" w:fill="4F81BD" w:themeFill="accent1"/>
            <w:noWrap/>
            <w:hideMark/>
          </w:tcPr>
          <w:p w14:paraId="3AA697C2"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 </w:t>
            </w:r>
          </w:p>
        </w:tc>
        <w:tc>
          <w:tcPr>
            <w:tcW w:w="767" w:type="dxa"/>
            <w:shd w:val="clear" w:color="auto" w:fill="4F81BD" w:themeFill="accent1"/>
            <w:noWrap/>
            <w:hideMark/>
          </w:tcPr>
          <w:p w14:paraId="2418AEBE"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 </w:t>
            </w:r>
          </w:p>
        </w:tc>
        <w:tc>
          <w:tcPr>
            <w:tcW w:w="669" w:type="dxa"/>
            <w:shd w:val="clear" w:color="auto" w:fill="4F81BD" w:themeFill="accent1"/>
            <w:noWrap/>
            <w:hideMark/>
          </w:tcPr>
          <w:p w14:paraId="61F46A84"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 </w:t>
            </w:r>
          </w:p>
        </w:tc>
        <w:tc>
          <w:tcPr>
            <w:tcW w:w="767" w:type="dxa"/>
            <w:shd w:val="clear" w:color="auto" w:fill="4F81BD" w:themeFill="accent1"/>
            <w:noWrap/>
            <w:hideMark/>
          </w:tcPr>
          <w:p w14:paraId="78A72C55"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 </w:t>
            </w:r>
          </w:p>
        </w:tc>
        <w:tc>
          <w:tcPr>
            <w:tcW w:w="768" w:type="dxa"/>
            <w:shd w:val="clear" w:color="auto" w:fill="4F81BD" w:themeFill="accent1"/>
            <w:noWrap/>
            <w:hideMark/>
          </w:tcPr>
          <w:p w14:paraId="405CA5AD"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 </w:t>
            </w:r>
          </w:p>
        </w:tc>
      </w:tr>
      <w:tr w:rsidR="00E00CEF" w:rsidRPr="002911A9" w14:paraId="47905992" w14:textId="77777777" w:rsidTr="00D037D4">
        <w:trPr>
          <w:trHeight w:val="308"/>
        </w:trPr>
        <w:tc>
          <w:tcPr>
            <w:tcW w:w="1527" w:type="dxa"/>
            <w:shd w:val="clear" w:color="auto" w:fill="4F81BD" w:themeFill="accent1"/>
            <w:noWrap/>
            <w:hideMark/>
          </w:tcPr>
          <w:p w14:paraId="41B43DAE"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 </w:t>
            </w:r>
          </w:p>
        </w:tc>
        <w:tc>
          <w:tcPr>
            <w:tcW w:w="833" w:type="dxa"/>
            <w:noWrap/>
            <w:hideMark/>
          </w:tcPr>
          <w:p w14:paraId="3AAF1C7F" w14:textId="77777777" w:rsidR="002911A9" w:rsidRPr="002911A9" w:rsidRDefault="002911A9" w:rsidP="002911A9">
            <w:pPr>
              <w:jc w:val="both"/>
              <w:rPr>
                <w:rFonts w:ascii="Arial" w:hAnsi="Arial" w:cs="Arial"/>
                <w:b/>
                <w:bCs/>
                <w:sz w:val="22"/>
                <w:szCs w:val="22"/>
              </w:rPr>
            </w:pPr>
            <w:r w:rsidRPr="002911A9">
              <w:rPr>
                <w:rFonts w:ascii="Arial" w:hAnsi="Arial" w:cs="Arial"/>
                <w:b/>
                <w:bCs/>
                <w:sz w:val="22"/>
                <w:szCs w:val="22"/>
              </w:rPr>
              <w:t>Apr-24</w:t>
            </w:r>
          </w:p>
        </w:tc>
        <w:tc>
          <w:tcPr>
            <w:tcW w:w="832" w:type="dxa"/>
            <w:noWrap/>
            <w:hideMark/>
          </w:tcPr>
          <w:p w14:paraId="6AE4F745" w14:textId="77777777" w:rsidR="002911A9" w:rsidRPr="002911A9" w:rsidRDefault="002911A9" w:rsidP="002911A9">
            <w:pPr>
              <w:jc w:val="both"/>
              <w:rPr>
                <w:rFonts w:ascii="Arial" w:hAnsi="Arial" w:cs="Arial"/>
                <w:b/>
                <w:bCs/>
                <w:sz w:val="22"/>
                <w:szCs w:val="22"/>
              </w:rPr>
            </w:pPr>
            <w:r w:rsidRPr="002911A9">
              <w:rPr>
                <w:rFonts w:ascii="Arial" w:hAnsi="Arial" w:cs="Arial"/>
                <w:b/>
                <w:bCs/>
                <w:sz w:val="22"/>
                <w:szCs w:val="22"/>
              </w:rPr>
              <w:t>May-24</w:t>
            </w:r>
          </w:p>
        </w:tc>
        <w:tc>
          <w:tcPr>
            <w:tcW w:w="694" w:type="dxa"/>
            <w:noWrap/>
            <w:hideMark/>
          </w:tcPr>
          <w:p w14:paraId="6CEF08AD" w14:textId="77777777" w:rsidR="002911A9" w:rsidRPr="002911A9" w:rsidRDefault="002911A9" w:rsidP="002911A9">
            <w:pPr>
              <w:jc w:val="both"/>
              <w:rPr>
                <w:rFonts w:ascii="Arial" w:hAnsi="Arial" w:cs="Arial"/>
                <w:b/>
                <w:bCs/>
                <w:sz w:val="22"/>
                <w:szCs w:val="22"/>
              </w:rPr>
            </w:pPr>
            <w:r w:rsidRPr="002911A9">
              <w:rPr>
                <w:rFonts w:ascii="Arial" w:hAnsi="Arial" w:cs="Arial"/>
                <w:b/>
                <w:bCs/>
                <w:sz w:val="22"/>
                <w:szCs w:val="22"/>
              </w:rPr>
              <w:t>Jun-24</w:t>
            </w:r>
          </w:p>
        </w:tc>
        <w:tc>
          <w:tcPr>
            <w:tcW w:w="767" w:type="dxa"/>
            <w:noWrap/>
            <w:hideMark/>
          </w:tcPr>
          <w:p w14:paraId="292CC35E" w14:textId="77777777" w:rsidR="002911A9" w:rsidRPr="002911A9" w:rsidRDefault="002911A9" w:rsidP="002911A9">
            <w:pPr>
              <w:jc w:val="both"/>
              <w:rPr>
                <w:rFonts w:ascii="Arial" w:hAnsi="Arial" w:cs="Arial"/>
                <w:b/>
                <w:bCs/>
                <w:sz w:val="22"/>
                <w:szCs w:val="22"/>
              </w:rPr>
            </w:pPr>
            <w:r w:rsidRPr="002911A9">
              <w:rPr>
                <w:rFonts w:ascii="Arial" w:hAnsi="Arial" w:cs="Arial"/>
                <w:b/>
                <w:bCs/>
                <w:sz w:val="22"/>
                <w:szCs w:val="22"/>
              </w:rPr>
              <w:t>Jul-24</w:t>
            </w:r>
          </w:p>
        </w:tc>
        <w:tc>
          <w:tcPr>
            <w:tcW w:w="775" w:type="dxa"/>
            <w:noWrap/>
            <w:hideMark/>
          </w:tcPr>
          <w:p w14:paraId="354FC3FE" w14:textId="77777777" w:rsidR="002911A9" w:rsidRPr="002911A9" w:rsidRDefault="002911A9" w:rsidP="002911A9">
            <w:pPr>
              <w:jc w:val="both"/>
              <w:rPr>
                <w:rFonts w:ascii="Arial" w:hAnsi="Arial" w:cs="Arial"/>
                <w:b/>
                <w:bCs/>
                <w:sz w:val="22"/>
                <w:szCs w:val="22"/>
              </w:rPr>
            </w:pPr>
            <w:r w:rsidRPr="002911A9">
              <w:rPr>
                <w:rFonts w:ascii="Arial" w:hAnsi="Arial" w:cs="Arial"/>
                <w:b/>
                <w:bCs/>
                <w:sz w:val="22"/>
                <w:szCs w:val="22"/>
              </w:rPr>
              <w:t>Aug-24</w:t>
            </w:r>
          </w:p>
        </w:tc>
        <w:tc>
          <w:tcPr>
            <w:tcW w:w="833" w:type="dxa"/>
            <w:noWrap/>
            <w:hideMark/>
          </w:tcPr>
          <w:p w14:paraId="501EAEC1" w14:textId="77777777" w:rsidR="002911A9" w:rsidRPr="002911A9" w:rsidRDefault="002911A9" w:rsidP="002911A9">
            <w:pPr>
              <w:jc w:val="both"/>
              <w:rPr>
                <w:rFonts w:ascii="Arial" w:hAnsi="Arial" w:cs="Arial"/>
                <w:b/>
                <w:bCs/>
                <w:sz w:val="22"/>
                <w:szCs w:val="22"/>
              </w:rPr>
            </w:pPr>
            <w:r w:rsidRPr="002911A9">
              <w:rPr>
                <w:rFonts w:ascii="Arial" w:hAnsi="Arial" w:cs="Arial"/>
                <w:b/>
                <w:bCs/>
                <w:sz w:val="22"/>
                <w:szCs w:val="22"/>
              </w:rPr>
              <w:t>Sep-24</w:t>
            </w:r>
          </w:p>
        </w:tc>
        <w:tc>
          <w:tcPr>
            <w:tcW w:w="767" w:type="dxa"/>
            <w:noWrap/>
            <w:hideMark/>
          </w:tcPr>
          <w:p w14:paraId="442306E4" w14:textId="77777777" w:rsidR="002911A9" w:rsidRPr="002911A9" w:rsidRDefault="002911A9" w:rsidP="002911A9">
            <w:pPr>
              <w:jc w:val="both"/>
              <w:rPr>
                <w:rFonts w:ascii="Arial" w:hAnsi="Arial" w:cs="Arial"/>
                <w:b/>
                <w:bCs/>
                <w:sz w:val="22"/>
                <w:szCs w:val="22"/>
              </w:rPr>
            </w:pPr>
            <w:r w:rsidRPr="002911A9">
              <w:rPr>
                <w:rFonts w:ascii="Arial" w:hAnsi="Arial" w:cs="Arial"/>
                <w:b/>
                <w:bCs/>
                <w:sz w:val="22"/>
                <w:szCs w:val="22"/>
              </w:rPr>
              <w:t>Oct-24</w:t>
            </w:r>
          </w:p>
        </w:tc>
        <w:tc>
          <w:tcPr>
            <w:tcW w:w="775" w:type="dxa"/>
            <w:noWrap/>
            <w:hideMark/>
          </w:tcPr>
          <w:p w14:paraId="0ECC3E6F" w14:textId="77777777" w:rsidR="002911A9" w:rsidRPr="002911A9" w:rsidRDefault="002911A9" w:rsidP="002911A9">
            <w:pPr>
              <w:jc w:val="both"/>
              <w:rPr>
                <w:rFonts w:ascii="Arial" w:hAnsi="Arial" w:cs="Arial"/>
                <w:b/>
                <w:bCs/>
                <w:sz w:val="22"/>
                <w:szCs w:val="22"/>
              </w:rPr>
            </w:pPr>
            <w:r w:rsidRPr="002911A9">
              <w:rPr>
                <w:rFonts w:ascii="Arial" w:hAnsi="Arial" w:cs="Arial"/>
                <w:b/>
                <w:bCs/>
                <w:sz w:val="22"/>
                <w:szCs w:val="22"/>
              </w:rPr>
              <w:t>Nov-24</w:t>
            </w:r>
          </w:p>
        </w:tc>
        <w:tc>
          <w:tcPr>
            <w:tcW w:w="767" w:type="dxa"/>
            <w:noWrap/>
            <w:hideMark/>
          </w:tcPr>
          <w:p w14:paraId="4C83E77D" w14:textId="77777777" w:rsidR="002911A9" w:rsidRPr="002911A9" w:rsidRDefault="002911A9" w:rsidP="002911A9">
            <w:pPr>
              <w:jc w:val="both"/>
              <w:rPr>
                <w:rFonts w:ascii="Arial" w:hAnsi="Arial" w:cs="Arial"/>
                <w:b/>
                <w:bCs/>
                <w:sz w:val="22"/>
                <w:szCs w:val="22"/>
              </w:rPr>
            </w:pPr>
            <w:r w:rsidRPr="002911A9">
              <w:rPr>
                <w:rFonts w:ascii="Arial" w:hAnsi="Arial" w:cs="Arial"/>
                <w:b/>
                <w:bCs/>
                <w:sz w:val="22"/>
                <w:szCs w:val="22"/>
              </w:rPr>
              <w:t>Dec-24</w:t>
            </w:r>
          </w:p>
        </w:tc>
        <w:tc>
          <w:tcPr>
            <w:tcW w:w="669" w:type="dxa"/>
            <w:noWrap/>
            <w:hideMark/>
          </w:tcPr>
          <w:p w14:paraId="7B5484F7" w14:textId="77777777" w:rsidR="002911A9" w:rsidRPr="002911A9" w:rsidRDefault="002911A9" w:rsidP="002911A9">
            <w:pPr>
              <w:jc w:val="both"/>
              <w:rPr>
                <w:rFonts w:ascii="Arial" w:hAnsi="Arial" w:cs="Arial"/>
                <w:b/>
                <w:bCs/>
                <w:sz w:val="22"/>
                <w:szCs w:val="22"/>
              </w:rPr>
            </w:pPr>
            <w:r w:rsidRPr="002911A9">
              <w:rPr>
                <w:rFonts w:ascii="Arial" w:hAnsi="Arial" w:cs="Arial"/>
                <w:b/>
                <w:bCs/>
                <w:sz w:val="22"/>
                <w:szCs w:val="22"/>
              </w:rPr>
              <w:t>Jan-25</w:t>
            </w:r>
          </w:p>
        </w:tc>
        <w:tc>
          <w:tcPr>
            <w:tcW w:w="767" w:type="dxa"/>
            <w:noWrap/>
            <w:hideMark/>
          </w:tcPr>
          <w:p w14:paraId="747E00C5" w14:textId="77777777" w:rsidR="002911A9" w:rsidRPr="002911A9" w:rsidRDefault="002911A9" w:rsidP="002911A9">
            <w:pPr>
              <w:jc w:val="both"/>
              <w:rPr>
                <w:rFonts w:ascii="Arial" w:hAnsi="Arial" w:cs="Arial"/>
                <w:b/>
                <w:bCs/>
                <w:sz w:val="22"/>
                <w:szCs w:val="22"/>
              </w:rPr>
            </w:pPr>
            <w:r w:rsidRPr="002911A9">
              <w:rPr>
                <w:rFonts w:ascii="Arial" w:hAnsi="Arial" w:cs="Arial"/>
                <w:b/>
                <w:bCs/>
                <w:sz w:val="22"/>
                <w:szCs w:val="22"/>
              </w:rPr>
              <w:t>Feb-25</w:t>
            </w:r>
          </w:p>
        </w:tc>
        <w:tc>
          <w:tcPr>
            <w:tcW w:w="768" w:type="dxa"/>
            <w:noWrap/>
            <w:hideMark/>
          </w:tcPr>
          <w:p w14:paraId="20F08E50" w14:textId="77777777" w:rsidR="002911A9" w:rsidRPr="002911A9" w:rsidRDefault="002911A9" w:rsidP="002911A9">
            <w:pPr>
              <w:jc w:val="both"/>
              <w:rPr>
                <w:rFonts w:ascii="Arial" w:hAnsi="Arial" w:cs="Arial"/>
                <w:b/>
                <w:bCs/>
                <w:sz w:val="22"/>
                <w:szCs w:val="22"/>
              </w:rPr>
            </w:pPr>
            <w:r w:rsidRPr="002911A9">
              <w:rPr>
                <w:rFonts w:ascii="Arial" w:hAnsi="Arial" w:cs="Arial"/>
                <w:b/>
                <w:bCs/>
                <w:sz w:val="22"/>
                <w:szCs w:val="22"/>
              </w:rPr>
              <w:t>Mar-25</w:t>
            </w:r>
          </w:p>
        </w:tc>
      </w:tr>
      <w:tr w:rsidR="00E00CEF" w:rsidRPr="002911A9" w14:paraId="0B7D6881" w14:textId="77777777" w:rsidTr="00D037D4">
        <w:trPr>
          <w:trHeight w:val="308"/>
        </w:trPr>
        <w:tc>
          <w:tcPr>
            <w:tcW w:w="1527" w:type="dxa"/>
            <w:shd w:val="clear" w:color="auto" w:fill="4F81BD" w:themeFill="accent1"/>
            <w:noWrap/>
            <w:hideMark/>
          </w:tcPr>
          <w:p w14:paraId="07C90CF6" w14:textId="5640DA53" w:rsidR="002911A9" w:rsidRPr="002911A9" w:rsidRDefault="002911A9" w:rsidP="002911A9">
            <w:pPr>
              <w:jc w:val="both"/>
              <w:rPr>
                <w:rFonts w:ascii="Arial" w:hAnsi="Arial" w:cs="Arial"/>
                <w:b/>
                <w:bCs/>
                <w:sz w:val="22"/>
                <w:szCs w:val="22"/>
              </w:rPr>
            </w:pPr>
            <w:r w:rsidRPr="002911A9">
              <w:rPr>
                <w:rFonts w:ascii="Arial" w:hAnsi="Arial" w:cs="Arial"/>
                <w:b/>
                <w:bCs/>
                <w:sz w:val="22"/>
                <w:szCs w:val="22"/>
              </w:rPr>
              <w:t>Diagnostic &amp; Specialis</w:t>
            </w:r>
            <w:r>
              <w:rPr>
                <w:rFonts w:ascii="Arial" w:hAnsi="Arial" w:cs="Arial"/>
                <w:b/>
                <w:bCs/>
                <w:sz w:val="22"/>
                <w:szCs w:val="22"/>
              </w:rPr>
              <w:t>t</w:t>
            </w:r>
          </w:p>
        </w:tc>
        <w:tc>
          <w:tcPr>
            <w:tcW w:w="833" w:type="dxa"/>
            <w:noWrap/>
            <w:hideMark/>
          </w:tcPr>
          <w:p w14:paraId="4702E174"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4.04</w:t>
            </w:r>
          </w:p>
        </w:tc>
        <w:tc>
          <w:tcPr>
            <w:tcW w:w="832" w:type="dxa"/>
            <w:noWrap/>
            <w:hideMark/>
          </w:tcPr>
          <w:p w14:paraId="548FFFCC"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4.50</w:t>
            </w:r>
          </w:p>
        </w:tc>
        <w:tc>
          <w:tcPr>
            <w:tcW w:w="694" w:type="dxa"/>
            <w:noWrap/>
            <w:hideMark/>
          </w:tcPr>
          <w:p w14:paraId="33551B16"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1.92</w:t>
            </w:r>
          </w:p>
        </w:tc>
        <w:tc>
          <w:tcPr>
            <w:tcW w:w="767" w:type="dxa"/>
            <w:noWrap/>
            <w:hideMark/>
          </w:tcPr>
          <w:p w14:paraId="62FCFCFF"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2.55</w:t>
            </w:r>
          </w:p>
        </w:tc>
        <w:tc>
          <w:tcPr>
            <w:tcW w:w="775" w:type="dxa"/>
            <w:noWrap/>
            <w:hideMark/>
          </w:tcPr>
          <w:p w14:paraId="1E82B2F5"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1.43</w:t>
            </w:r>
          </w:p>
        </w:tc>
        <w:tc>
          <w:tcPr>
            <w:tcW w:w="833" w:type="dxa"/>
            <w:noWrap/>
            <w:hideMark/>
          </w:tcPr>
          <w:p w14:paraId="17181F32"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2.32</w:t>
            </w:r>
          </w:p>
        </w:tc>
        <w:tc>
          <w:tcPr>
            <w:tcW w:w="767" w:type="dxa"/>
            <w:noWrap/>
            <w:hideMark/>
          </w:tcPr>
          <w:p w14:paraId="137191DD"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1.66</w:t>
            </w:r>
          </w:p>
        </w:tc>
        <w:tc>
          <w:tcPr>
            <w:tcW w:w="775" w:type="dxa"/>
            <w:noWrap/>
            <w:hideMark/>
          </w:tcPr>
          <w:p w14:paraId="06F596D1"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3.09</w:t>
            </w:r>
          </w:p>
        </w:tc>
        <w:tc>
          <w:tcPr>
            <w:tcW w:w="767" w:type="dxa"/>
            <w:noWrap/>
            <w:hideMark/>
          </w:tcPr>
          <w:p w14:paraId="16A78700"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0.97</w:t>
            </w:r>
          </w:p>
        </w:tc>
        <w:tc>
          <w:tcPr>
            <w:tcW w:w="669" w:type="dxa"/>
            <w:noWrap/>
            <w:hideMark/>
          </w:tcPr>
          <w:p w14:paraId="33F2D1E2"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1.67</w:t>
            </w:r>
          </w:p>
        </w:tc>
        <w:tc>
          <w:tcPr>
            <w:tcW w:w="767" w:type="dxa"/>
            <w:noWrap/>
            <w:hideMark/>
          </w:tcPr>
          <w:p w14:paraId="056A9E80"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0.47</w:t>
            </w:r>
          </w:p>
        </w:tc>
        <w:tc>
          <w:tcPr>
            <w:tcW w:w="768" w:type="dxa"/>
            <w:noWrap/>
            <w:hideMark/>
          </w:tcPr>
          <w:p w14:paraId="664F4E58"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2.71</w:t>
            </w:r>
          </w:p>
        </w:tc>
      </w:tr>
      <w:tr w:rsidR="00E00CEF" w:rsidRPr="002911A9" w14:paraId="7A2C870A" w14:textId="77777777" w:rsidTr="00D037D4">
        <w:trPr>
          <w:trHeight w:val="308"/>
        </w:trPr>
        <w:tc>
          <w:tcPr>
            <w:tcW w:w="1527" w:type="dxa"/>
            <w:shd w:val="clear" w:color="auto" w:fill="4F81BD" w:themeFill="accent1"/>
            <w:noWrap/>
            <w:hideMark/>
          </w:tcPr>
          <w:p w14:paraId="651ECADE" w14:textId="77777777" w:rsidR="002911A9" w:rsidRPr="002911A9" w:rsidRDefault="002911A9" w:rsidP="002911A9">
            <w:pPr>
              <w:jc w:val="both"/>
              <w:rPr>
                <w:rFonts w:ascii="Arial" w:hAnsi="Arial" w:cs="Arial"/>
                <w:b/>
                <w:bCs/>
                <w:sz w:val="22"/>
                <w:szCs w:val="22"/>
              </w:rPr>
            </w:pPr>
            <w:r w:rsidRPr="002911A9">
              <w:rPr>
                <w:rFonts w:ascii="Arial" w:hAnsi="Arial" w:cs="Arial"/>
                <w:b/>
                <w:bCs/>
                <w:sz w:val="22"/>
                <w:szCs w:val="22"/>
              </w:rPr>
              <w:t>Medical</w:t>
            </w:r>
          </w:p>
        </w:tc>
        <w:tc>
          <w:tcPr>
            <w:tcW w:w="833" w:type="dxa"/>
            <w:noWrap/>
            <w:hideMark/>
          </w:tcPr>
          <w:p w14:paraId="695994B7"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11.61</w:t>
            </w:r>
          </w:p>
        </w:tc>
        <w:tc>
          <w:tcPr>
            <w:tcW w:w="832" w:type="dxa"/>
            <w:noWrap/>
            <w:hideMark/>
          </w:tcPr>
          <w:p w14:paraId="2CAB2A2A"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11.75</w:t>
            </w:r>
          </w:p>
        </w:tc>
        <w:tc>
          <w:tcPr>
            <w:tcW w:w="694" w:type="dxa"/>
            <w:noWrap/>
            <w:hideMark/>
          </w:tcPr>
          <w:p w14:paraId="3D7D667F"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9.53</w:t>
            </w:r>
          </w:p>
        </w:tc>
        <w:tc>
          <w:tcPr>
            <w:tcW w:w="767" w:type="dxa"/>
            <w:noWrap/>
            <w:hideMark/>
          </w:tcPr>
          <w:p w14:paraId="0ED1FCCB"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13.82</w:t>
            </w:r>
          </w:p>
        </w:tc>
        <w:tc>
          <w:tcPr>
            <w:tcW w:w="775" w:type="dxa"/>
            <w:noWrap/>
            <w:hideMark/>
          </w:tcPr>
          <w:p w14:paraId="28DBA561"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10.88</w:t>
            </w:r>
          </w:p>
        </w:tc>
        <w:tc>
          <w:tcPr>
            <w:tcW w:w="833" w:type="dxa"/>
            <w:noWrap/>
            <w:hideMark/>
          </w:tcPr>
          <w:p w14:paraId="0D644578"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8.36</w:t>
            </w:r>
          </w:p>
        </w:tc>
        <w:tc>
          <w:tcPr>
            <w:tcW w:w="767" w:type="dxa"/>
            <w:noWrap/>
            <w:hideMark/>
          </w:tcPr>
          <w:p w14:paraId="5AC9CE28"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12.77</w:t>
            </w:r>
          </w:p>
        </w:tc>
        <w:tc>
          <w:tcPr>
            <w:tcW w:w="775" w:type="dxa"/>
            <w:noWrap/>
            <w:hideMark/>
          </w:tcPr>
          <w:p w14:paraId="0AF6ABE7"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13.58</w:t>
            </w:r>
          </w:p>
        </w:tc>
        <w:tc>
          <w:tcPr>
            <w:tcW w:w="767" w:type="dxa"/>
            <w:noWrap/>
            <w:hideMark/>
          </w:tcPr>
          <w:p w14:paraId="342D6874"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6.83</w:t>
            </w:r>
          </w:p>
        </w:tc>
        <w:tc>
          <w:tcPr>
            <w:tcW w:w="669" w:type="dxa"/>
            <w:noWrap/>
            <w:hideMark/>
          </w:tcPr>
          <w:p w14:paraId="4D0CF212"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9.57</w:t>
            </w:r>
          </w:p>
        </w:tc>
        <w:tc>
          <w:tcPr>
            <w:tcW w:w="767" w:type="dxa"/>
            <w:noWrap/>
            <w:hideMark/>
          </w:tcPr>
          <w:p w14:paraId="04AF84C5"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11.20</w:t>
            </w:r>
          </w:p>
        </w:tc>
        <w:tc>
          <w:tcPr>
            <w:tcW w:w="768" w:type="dxa"/>
            <w:noWrap/>
            <w:hideMark/>
          </w:tcPr>
          <w:p w14:paraId="5C852014"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10.49</w:t>
            </w:r>
          </w:p>
        </w:tc>
      </w:tr>
      <w:tr w:rsidR="00E00CEF" w:rsidRPr="002911A9" w14:paraId="170AAD24" w14:textId="77777777" w:rsidTr="00D037D4">
        <w:trPr>
          <w:trHeight w:val="308"/>
        </w:trPr>
        <w:tc>
          <w:tcPr>
            <w:tcW w:w="1527" w:type="dxa"/>
            <w:shd w:val="clear" w:color="auto" w:fill="4F81BD" w:themeFill="accent1"/>
            <w:noWrap/>
            <w:hideMark/>
          </w:tcPr>
          <w:p w14:paraId="19457A6E" w14:textId="77777777" w:rsidR="002911A9" w:rsidRPr="002911A9" w:rsidRDefault="002911A9" w:rsidP="002911A9">
            <w:pPr>
              <w:jc w:val="both"/>
              <w:rPr>
                <w:rFonts w:ascii="Arial" w:hAnsi="Arial" w:cs="Arial"/>
                <w:b/>
                <w:bCs/>
                <w:sz w:val="22"/>
                <w:szCs w:val="22"/>
              </w:rPr>
            </w:pPr>
            <w:r w:rsidRPr="002911A9">
              <w:rPr>
                <w:rFonts w:ascii="Arial" w:hAnsi="Arial" w:cs="Arial"/>
                <w:b/>
                <w:bCs/>
                <w:sz w:val="22"/>
                <w:szCs w:val="22"/>
              </w:rPr>
              <w:t>Surgical</w:t>
            </w:r>
          </w:p>
        </w:tc>
        <w:tc>
          <w:tcPr>
            <w:tcW w:w="833" w:type="dxa"/>
            <w:noWrap/>
            <w:hideMark/>
          </w:tcPr>
          <w:p w14:paraId="197681BD"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11.79</w:t>
            </w:r>
          </w:p>
        </w:tc>
        <w:tc>
          <w:tcPr>
            <w:tcW w:w="832" w:type="dxa"/>
            <w:noWrap/>
            <w:hideMark/>
          </w:tcPr>
          <w:p w14:paraId="725BF6D7"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11.62</w:t>
            </w:r>
          </w:p>
        </w:tc>
        <w:tc>
          <w:tcPr>
            <w:tcW w:w="694" w:type="dxa"/>
            <w:noWrap/>
            <w:hideMark/>
          </w:tcPr>
          <w:p w14:paraId="4D198560"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9.16</w:t>
            </w:r>
          </w:p>
        </w:tc>
        <w:tc>
          <w:tcPr>
            <w:tcW w:w="767" w:type="dxa"/>
            <w:noWrap/>
            <w:hideMark/>
          </w:tcPr>
          <w:p w14:paraId="671E83AC"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13.08</w:t>
            </w:r>
          </w:p>
        </w:tc>
        <w:tc>
          <w:tcPr>
            <w:tcW w:w="775" w:type="dxa"/>
            <w:noWrap/>
            <w:hideMark/>
          </w:tcPr>
          <w:p w14:paraId="18AE487C"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15.73</w:t>
            </w:r>
          </w:p>
        </w:tc>
        <w:tc>
          <w:tcPr>
            <w:tcW w:w="833" w:type="dxa"/>
            <w:noWrap/>
            <w:hideMark/>
          </w:tcPr>
          <w:p w14:paraId="711F7F35"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10.21</w:t>
            </w:r>
          </w:p>
        </w:tc>
        <w:tc>
          <w:tcPr>
            <w:tcW w:w="767" w:type="dxa"/>
            <w:noWrap/>
            <w:hideMark/>
          </w:tcPr>
          <w:p w14:paraId="605FFD01"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6.69</w:t>
            </w:r>
          </w:p>
        </w:tc>
        <w:tc>
          <w:tcPr>
            <w:tcW w:w="775" w:type="dxa"/>
            <w:noWrap/>
            <w:hideMark/>
          </w:tcPr>
          <w:p w14:paraId="5D79E6CE"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10.13</w:t>
            </w:r>
          </w:p>
        </w:tc>
        <w:tc>
          <w:tcPr>
            <w:tcW w:w="767" w:type="dxa"/>
            <w:noWrap/>
            <w:hideMark/>
          </w:tcPr>
          <w:p w14:paraId="289845B4"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9.54</w:t>
            </w:r>
          </w:p>
        </w:tc>
        <w:tc>
          <w:tcPr>
            <w:tcW w:w="669" w:type="dxa"/>
            <w:noWrap/>
            <w:hideMark/>
          </w:tcPr>
          <w:p w14:paraId="74B6CE33"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9.62</w:t>
            </w:r>
          </w:p>
        </w:tc>
        <w:tc>
          <w:tcPr>
            <w:tcW w:w="767" w:type="dxa"/>
            <w:noWrap/>
            <w:hideMark/>
          </w:tcPr>
          <w:p w14:paraId="24116321"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10.25</w:t>
            </w:r>
          </w:p>
        </w:tc>
        <w:tc>
          <w:tcPr>
            <w:tcW w:w="768" w:type="dxa"/>
            <w:noWrap/>
            <w:hideMark/>
          </w:tcPr>
          <w:p w14:paraId="4A14B258"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11.73</w:t>
            </w:r>
          </w:p>
        </w:tc>
      </w:tr>
      <w:tr w:rsidR="00E00CEF" w:rsidRPr="002911A9" w14:paraId="17372BC2" w14:textId="77777777" w:rsidTr="00D037D4">
        <w:trPr>
          <w:trHeight w:val="308"/>
        </w:trPr>
        <w:tc>
          <w:tcPr>
            <w:tcW w:w="1527" w:type="dxa"/>
            <w:shd w:val="clear" w:color="auto" w:fill="4F81BD" w:themeFill="accent1"/>
            <w:noWrap/>
            <w:hideMark/>
          </w:tcPr>
          <w:p w14:paraId="0FA10962" w14:textId="77777777" w:rsidR="002911A9" w:rsidRPr="002911A9" w:rsidRDefault="002911A9" w:rsidP="002911A9">
            <w:pPr>
              <w:jc w:val="both"/>
              <w:rPr>
                <w:rFonts w:ascii="Arial" w:hAnsi="Arial" w:cs="Arial"/>
                <w:b/>
                <w:bCs/>
                <w:sz w:val="22"/>
                <w:szCs w:val="22"/>
              </w:rPr>
            </w:pPr>
            <w:r w:rsidRPr="002911A9">
              <w:rPr>
                <w:rFonts w:ascii="Arial" w:hAnsi="Arial" w:cs="Arial"/>
                <w:b/>
                <w:bCs/>
                <w:sz w:val="22"/>
                <w:szCs w:val="22"/>
              </w:rPr>
              <w:t>Women &amp; Children</w:t>
            </w:r>
          </w:p>
        </w:tc>
        <w:tc>
          <w:tcPr>
            <w:tcW w:w="833" w:type="dxa"/>
            <w:noWrap/>
            <w:hideMark/>
          </w:tcPr>
          <w:p w14:paraId="2FF1BD22"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15.58</w:t>
            </w:r>
          </w:p>
        </w:tc>
        <w:tc>
          <w:tcPr>
            <w:tcW w:w="832" w:type="dxa"/>
            <w:noWrap/>
            <w:hideMark/>
          </w:tcPr>
          <w:p w14:paraId="67F19498"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24.78</w:t>
            </w:r>
          </w:p>
        </w:tc>
        <w:tc>
          <w:tcPr>
            <w:tcW w:w="694" w:type="dxa"/>
            <w:noWrap/>
            <w:hideMark/>
          </w:tcPr>
          <w:p w14:paraId="39DE83DB"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8.69</w:t>
            </w:r>
          </w:p>
        </w:tc>
        <w:tc>
          <w:tcPr>
            <w:tcW w:w="767" w:type="dxa"/>
            <w:noWrap/>
            <w:hideMark/>
          </w:tcPr>
          <w:p w14:paraId="28752CF8"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19.47</w:t>
            </w:r>
          </w:p>
        </w:tc>
        <w:tc>
          <w:tcPr>
            <w:tcW w:w="775" w:type="dxa"/>
            <w:noWrap/>
            <w:hideMark/>
          </w:tcPr>
          <w:p w14:paraId="324AF9B7"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18.08</w:t>
            </w:r>
          </w:p>
        </w:tc>
        <w:tc>
          <w:tcPr>
            <w:tcW w:w="833" w:type="dxa"/>
            <w:noWrap/>
            <w:hideMark/>
          </w:tcPr>
          <w:p w14:paraId="015AB03C"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13.75</w:t>
            </w:r>
          </w:p>
        </w:tc>
        <w:tc>
          <w:tcPr>
            <w:tcW w:w="767" w:type="dxa"/>
            <w:noWrap/>
            <w:hideMark/>
          </w:tcPr>
          <w:p w14:paraId="0F279D9B"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13.93</w:t>
            </w:r>
          </w:p>
        </w:tc>
        <w:tc>
          <w:tcPr>
            <w:tcW w:w="775" w:type="dxa"/>
            <w:noWrap/>
            <w:hideMark/>
          </w:tcPr>
          <w:p w14:paraId="7DD5F270"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16.42</w:t>
            </w:r>
          </w:p>
        </w:tc>
        <w:tc>
          <w:tcPr>
            <w:tcW w:w="767" w:type="dxa"/>
            <w:noWrap/>
            <w:hideMark/>
          </w:tcPr>
          <w:p w14:paraId="13C2A1B2"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18.47</w:t>
            </w:r>
          </w:p>
        </w:tc>
        <w:tc>
          <w:tcPr>
            <w:tcW w:w="669" w:type="dxa"/>
            <w:noWrap/>
            <w:hideMark/>
          </w:tcPr>
          <w:p w14:paraId="2CC1F438"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6.36</w:t>
            </w:r>
          </w:p>
        </w:tc>
        <w:tc>
          <w:tcPr>
            <w:tcW w:w="767" w:type="dxa"/>
            <w:noWrap/>
            <w:hideMark/>
          </w:tcPr>
          <w:p w14:paraId="27C2D7EB"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14.33</w:t>
            </w:r>
          </w:p>
        </w:tc>
        <w:tc>
          <w:tcPr>
            <w:tcW w:w="768" w:type="dxa"/>
            <w:noWrap/>
            <w:hideMark/>
          </w:tcPr>
          <w:p w14:paraId="78E22876"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15.19</w:t>
            </w:r>
          </w:p>
        </w:tc>
      </w:tr>
      <w:tr w:rsidR="00E00CEF" w:rsidRPr="002911A9" w14:paraId="45852296" w14:textId="77777777" w:rsidTr="00D037D4">
        <w:trPr>
          <w:trHeight w:val="308"/>
        </w:trPr>
        <w:tc>
          <w:tcPr>
            <w:tcW w:w="1527" w:type="dxa"/>
            <w:shd w:val="clear" w:color="auto" w:fill="4F81BD" w:themeFill="accent1"/>
            <w:noWrap/>
            <w:hideMark/>
          </w:tcPr>
          <w:p w14:paraId="3A9672BD" w14:textId="77777777" w:rsidR="002911A9" w:rsidRPr="002911A9" w:rsidRDefault="002911A9" w:rsidP="002911A9">
            <w:pPr>
              <w:jc w:val="both"/>
              <w:rPr>
                <w:rFonts w:ascii="Arial" w:hAnsi="Arial" w:cs="Arial"/>
                <w:b/>
                <w:bCs/>
                <w:sz w:val="22"/>
                <w:szCs w:val="22"/>
              </w:rPr>
            </w:pPr>
            <w:r w:rsidRPr="002911A9">
              <w:rPr>
                <w:rFonts w:ascii="Arial" w:hAnsi="Arial" w:cs="Arial"/>
                <w:b/>
                <w:bCs/>
                <w:sz w:val="22"/>
                <w:szCs w:val="22"/>
              </w:rPr>
              <w:t>Grand Total</w:t>
            </w:r>
          </w:p>
        </w:tc>
        <w:tc>
          <w:tcPr>
            <w:tcW w:w="833" w:type="dxa"/>
            <w:noWrap/>
            <w:hideMark/>
          </w:tcPr>
          <w:p w14:paraId="38BC9E84"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10.52</w:t>
            </w:r>
          </w:p>
        </w:tc>
        <w:tc>
          <w:tcPr>
            <w:tcW w:w="832" w:type="dxa"/>
            <w:noWrap/>
            <w:hideMark/>
          </w:tcPr>
          <w:p w14:paraId="371A1056"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12.13</w:t>
            </w:r>
          </w:p>
        </w:tc>
        <w:tc>
          <w:tcPr>
            <w:tcW w:w="694" w:type="dxa"/>
            <w:noWrap/>
            <w:hideMark/>
          </w:tcPr>
          <w:p w14:paraId="7DF179AC"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7.93</w:t>
            </w:r>
          </w:p>
        </w:tc>
        <w:tc>
          <w:tcPr>
            <w:tcW w:w="767" w:type="dxa"/>
            <w:noWrap/>
            <w:hideMark/>
          </w:tcPr>
          <w:p w14:paraId="33D5B1CC"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12.23</w:t>
            </w:r>
          </w:p>
        </w:tc>
        <w:tc>
          <w:tcPr>
            <w:tcW w:w="775" w:type="dxa"/>
            <w:noWrap/>
            <w:hideMark/>
          </w:tcPr>
          <w:p w14:paraId="2812B1C2"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11.64</w:t>
            </w:r>
          </w:p>
        </w:tc>
        <w:tc>
          <w:tcPr>
            <w:tcW w:w="833" w:type="dxa"/>
            <w:noWrap/>
            <w:hideMark/>
          </w:tcPr>
          <w:p w14:paraId="703A205D"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8.50</w:t>
            </w:r>
          </w:p>
        </w:tc>
        <w:tc>
          <w:tcPr>
            <w:tcW w:w="767" w:type="dxa"/>
            <w:noWrap/>
            <w:hideMark/>
          </w:tcPr>
          <w:p w14:paraId="00F8752B"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8.91</w:t>
            </w:r>
          </w:p>
        </w:tc>
        <w:tc>
          <w:tcPr>
            <w:tcW w:w="775" w:type="dxa"/>
            <w:noWrap/>
            <w:hideMark/>
          </w:tcPr>
          <w:p w14:paraId="56B39CF4"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10.76</w:t>
            </w:r>
          </w:p>
        </w:tc>
        <w:tc>
          <w:tcPr>
            <w:tcW w:w="767" w:type="dxa"/>
            <w:noWrap/>
            <w:hideMark/>
          </w:tcPr>
          <w:p w14:paraId="43992E88"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7.93</w:t>
            </w:r>
          </w:p>
        </w:tc>
        <w:tc>
          <w:tcPr>
            <w:tcW w:w="669" w:type="dxa"/>
            <w:noWrap/>
            <w:hideMark/>
          </w:tcPr>
          <w:p w14:paraId="669B004E"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7.69</w:t>
            </w:r>
          </w:p>
        </w:tc>
        <w:tc>
          <w:tcPr>
            <w:tcW w:w="767" w:type="dxa"/>
            <w:noWrap/>
            <w:hideMark/>
          </w:tcPr>
          <w:p w14:paraId="63679590"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8.99</w:t>
            </w:r>
          </w:p>
        </w:tc>
        <w:tc>
          <w:tcPr>
            <w:tcW w:w="768" w:type="dxa"/>
            <w:noWrap/>
            <w:hideMark/>
          </w:tcPr>
          <w:p w14:paraId="17E19E5D" w14:textId="77777777" w:rsidR="002911A9" w:rsidRPr="002911A9" w:rsidRDefault="002911A9" w:rsidP="002911A9">
            <w:pPr>
              <w:jc w:val="both"/>
              <w:rPr>
                <w:rFonts w:ascii="Arial" w:hAnsi="Arial" w:cs="Arial"/>
                <w:sz w:val="22"/>
                <w:szCs w:val="22"/>
              </w:rPr>
            </w:pPr>
            <w:r w:rsidRPr="002911A9">
              <w:rPr>
                <w:rFonts w:ascii="Arial" w:hAnsi="Arial" w:cs="Arial"/>
                <w:sz w:val="22"/>
                <w:szCs w:val="22"/>
              </w:rPr>
              <w:t>9.86</w:t>
            </w:r>
          </w:p>
        </w:tc>
      </w:tr>
    </w:tbl>
    <w:p w14:paraId="7D0D78CE" w14:textId="77777777" w:rsidR="00226033" w:rsidRDefault="00226033" w:rsidP="005A19F7">
      <w:pPr>
        <w:spacing w:after="120"/>
        <w:rPr>
          <w:rFonts w:ascii="Arial" w:hAnsi="Arial" w:cs="Arial"/>
          <w:b/>
          <w:sz w:val="22"/>
          <w:szCs w:val="22"/>
          <w:lang w:val="en-GB"/>
        </w:rPr>
      </w:pPr>
    </w:p>
    <w:p w14:paraId="0F8228CC" w14:textId="3EEA75DF" w:rsidR="00F73CCF" w:rsidRPr="00FE6128" w:rsidRDefault="00FE6128" w:rsidP="00FE6128">
      <w:pPr>
        <w:spacing w:after="120"/>
        <w:jc w:val="right"/>
        <w:rPr>
          <w:rFonts w:ascii="Arial" w:hAnsi="Arial" w:cs="Arial"/>
          <w:b/>
          <w:sz w:val="22"/>
          <w:szCs w:val="22"/>
          <w:u w:val="single"/>
          <w:lang w:val="en-GB"/>
        </w:rPr>
      </w:pPr>
      <w:r w:rsidRPr="00FE6128">
        <w:rPr>
          <w:rFonts w:ascii="Arial" w:hAnsi="Arial" w:cs="Arial"/>
          <w:b/>
          <w:sz w:val="22"/>
          <w:szCs w:val="22"/>
          <w:u w:val="single"/>
          <w:lang w:val="en-GB"/>
        </w:rPr>
        <w:t>Table 1</w:t>
      </w:r>
    </w:p>
    <w:p w14:paraId="0F63E5A4" w14:textId="77777777" w:rsidR="005A19F7" w:rsidRDefault="005A19F7" w:rsidP="005A19F7">
      <w:pPr>
        <w:spacing w:after="120"/>
        <w:rPr>
          <w:rFonts w:ascii="Arial" w:hAnsi="Arial" w:cs="Arial"/>
          <w:b/>
          <w:sz w:val="22"/>
          <w:szCs w:val="22"/>
          <w:lang w:val="en-GB"/>
        </w:rPr>
      </w:pPr>
      <w:r w:rsidRPr="00452CE4">
        <w:rPr>
          <w:rFonts w:ascii="Arial" w:hAnsi="Arial" w:cs="Arial"/>
          <w:b/>
          <w:sz w:val="22"/>
          <w:szCs w:val="22"/>
          <w:lang w:val="en-GB"/>
        </w:rPr>
        <w:t>3.1 Complaints by Division</w:t>
      </w:r>
    </w:p>
    <w:p w14:paraId="7C9F1ADE" w14:textId="77777777" w:rsidR="00BC4243" w:rsidRPr="00452CE4" w:rsidRDefault="00BC4243" w:rsidP="005A19F7">
      <w:pPr>
        <w:spacing w:after="120"/>
        <w:rPr>
          <w:rFonts w:ascii="Arial" w:hAnsi="Arial" w:cs="Arial"/>
          <w:b/>
          <w:sz w:val="22"/>
          <w:szCs w:val="22"/>
          <w:lang w:val="en-GB"/>
        </w:rPr>
      </w:pPr>
    </w:p>
    <w:p w14:paraId="7ED6A4CA" w14:textId="50B58127" w:rsidR="005A19F7" w:rsidRDefault="00DB7839" w:rsidP="0019112D">
      <w:pPr>
        <w:jc w:val="both"/>
        <w:rPr>
          <w:rFonts w:ascii="Arial" w:hAnsi="Arial" w:cs="Arial"/>
          <w:sz w:val="22"/>
          <w:szCs w:val="22"/>
          <w:lang w:val="en-GB"/>
        </w:rPr>
      </w:pPr>
      <w:r w:rsidRPr="002911A9">
        <w:rPr>
          <w:rFonts w:ascii="Arial" w:hAnsi="Arial" w:cs="Arial"/>
          <w:b/>
          <w:bCs/>
          <w:sz w:val="22"/>
          <w:szCs w:val="22"/>
          <w:u w:val="single"/>
          <w:lang w:val="en-GB"/>
        </w:rPr>
        <w:t xml:space="preserve">Table </w:t>
      </w:r>
      <w:r w:rsidR="00FE6128">
        <w:rPr>
          <w:rFonts w:ascii="Arial" w:hAnsi="Arial" w:cs="Arial"/>
          <w:b/>
          <w:bCs/>
          <w:sz w:val="22"/>
          <w:szCs w:val="22"/>
          <w:u w:val="single"/>
          <w:lang w:val="en-GB"/>
        </w:rPr>
        <w:t>2</w:t>
      </w:r>
      <w:r w:rsidR="005A19F7" w:rsidRPr="002911A9">
        <w:rPr>
          <w:rFonts w:ascii="Arial" w:hAnsi="Arial" w:cs="Arial"/>
          <w:sz w:val="22"/>
          <w:szCs w:val="22"/>
          <w:lang w:val="en-GB"/>
        </w:rPr>
        <w:t xml:space="preserve"> </w:t>
      </w:r>
      <w:r w:rsidR="002B0918" w:rsidRPr="002911A9">
        <w:rPr>
          <w:rFonts w:ascii="Arial" w:hAnsi="Arial" w:cs="Arial"/>
          <w:sz w:val="22"/>
          <w:szCs w:val="22"/>
          <w:lang w:val="en-GB"/>
        </w:rPr>
        <w:t>below</w:t>
      </w:r>
      <w:r w:rsidR="002B0918">
        <w:rPr>
          <w:rFonts w:ascii="Arial" w:hAnsi="Arial" w:cs="Arial"/>
          <w:sz w:val="22"/>
          <w:szCs w:val="22"/>
          <w:lang w:val="en-GB"/>
        </w:rPr>
        <w:t xml:space="preserve"> </w:t>
      </w:r>
      <w:r w:rsidR="005A19F7" w:rsidRPr="00452CE4">
        <w:rPr>
          <w:rFonts w:ascii="Arial" w:hAnsi="Arial" w:cs="Arial"/>
          <w:sz w:val="22"/>
          <w:szCs w:val="22"/>
          <w:lang w:val="en-GB"/>
        </w:rPr>
        <w:t>shows the number of complaints received by each of the Trust’s divisions compared with the previous year. Directional arrows indicate change compared to the previous fiscal year.</w:t>
      </w:r>
    </w:p>
    <w:p w14:paraId="27188BFC" w14:textId="77777777" w:rsidR="00F15D12" w:rsidRDefault="00F15D12" w:rsidP="0019112D">
      <w:pPr>
        <w:jc w:val="both"/>
        <w:rPr>
          <w:rFonts w:ascii="Arial" w:hAnsi="Arial" w:cs="Arial"/>
          <w:sz w:val="22"/>
          <w:szCs w:val="22"/>
          <w:lang w:val="en-GB"/>
        </w:rPr>
      </w:pPr>
    </w:p>
    <w:p w14:paraId="05A83407" w14:textId="77777777" w:rsidR="00F15D12" w:rsidRDefault="00F15D12" w:rsidP="0019112D">
      <w:pPr>
        <w:jc w:val="both"/>
        <w:rPr>
          <w:rFonts w:ascii="Arial" w:hAnsi="Arial" w:cs="Arial"/>
          <w:sz w:val="22"/>
          <w:szCs w:val="22"/>
          <w:lang w:val="en-GB"/>
        </w:rPr>
      </w:pPr>
    </w:p>
    <w:p w14:paraId="23A69825" w14:textId="77777777" w:rsidR="005878DF" w:rsidRDefault="005878DF" w:rsidP="0019112D">
      <w:pPr>
        <w:jc w:val="both"/>
        <w:rPr>
          <w:rFonts w:ascii="Arial" w:hAnsi="Arial" w:cs="Arial"/>
          <w:sz w:val="22"/>
          <w:szCs w:val="22"/>
          <w:lang w:val="en-GB"/>
        </w:rPr>
      </w:pPr>
    </w:p>
    <w:tbl>
      <w:tblPr>
        <w:tblW w:w="7284" w:type="dxa"/>
        <w:jc w:val="center"/>
        <w:tblLayout w:type="fixed"/>
        <w:tblLook w:val="04A0" w:firstRow="1" w:lastRow="0" w:firstColumn="1" w:lastColumn="0" w:noHBand="0" w:noVBand="1"/>
      </w:tblPr>
      <w:tblGrid>
        <w:gridCol w:w="2968"/>
        <w:gridCol w:w="2158"/>
        <w:gridCol w:w="2158"/>
      </w:tblGrid>
      <w:tr w:rsidR="005832CE" w:rsidRPr="005878DF" w14:paraId="33905119" w14:textId="77777777" w:rsidTr="005832CE">
        <w:trPr>
          <w:trHeight w:val="300"/>
          <w:jc w:val="center"/>
        </w:trPr>
        <w:tc>
          <w:tcPr>
            <w:tcW w:w="2968" w:type="dxa"/>
            <w:tcBorders>
              <w:top w:val="single" w:sz="4" w:space="0" w:color="262626"/>
              <w:left w:val="single" w:sz="4" w:space="0" w:color="262626"/>
              <w:bottom w:val="single" w:sz="4" w:space="0" w:color="262626"/>
              <w:right w:val="single" w:sz="4" w:space="0" w:color="262626"/>
            </w:tcBorders>
            <w:shd w:val="clear" w:color="auto" w:fill="D9D9D9" w:themeFill="background1" w:themeFillShade="D9"/>
            <w:noWrap/>
            <w:vAlign w:val="center"/>
            <w:hideMark/>
          </w:tcPr>
          <w:p w14:paraId="3262F272" w14:textId="77777777" w:rsidR="005832CE" w:rsidRPr="005878DF" w:rsidRDefault="005832CE" w:rsidP="005878DF">
            <w:pPr>
              <w:rPr>
                <w:rFonts w:ascii="Arial" w:eastAsia="Times New Roman" w:hAnsi="Arial" w:cs="Arial"/>
                <w:b/>
                <w:bCs/>
                <w:color w:val="000000"/>
                <w:lang w:val="en-GB" w:eastAsia="en-GB"/>
              </w:rPr>
            </w:pPr>
            <w:r w:rsidRPr="005878DF">
              <w:rPr>
                <w:rFonts w:ascii="Arial" w:eastAsia="Times New Roman" w:hAnsi="Arial" w:cs="Arial"/>
                <w:b/>
                <w:bCs/>
                <w:color w:val="000000"/>
                <w:sz w:val="22"/>
                <w:szCs w:val="22"/>
                <w:lang w:val="en-GB" w:eastAsia="en-GB"/>
              </w:rPr>
              <w:lastRenderedPageBreak/>
              <w:t>Division</w:t>
            </w:r>
          </w:p>
        </w:tc>
        <w:tc>
          <w:tcPr>
            <w:tcW w:w="2158" w:type="dxa"/>
            <w:tcBorders>
              <w:top w:val="single" w:sz="4" w:space="0" w:color="262626"/>
              <w:left w:val="nil"/>
              <w:bottom w:val="single" w:sz="4" w:space="0" w:color="262626"/>
              <w:right w:val="nil"/>
            </w:tcBorders>
            <w:shd w:val="clear" w:color="auto" w:fill="D9D9D9" w:themeFill="background1" w:themeFillShade="D9"/>
          </w:tcPr>
          <w:p w14:paraId="07DAC65D" w14:textId="329CECBC" w:rsidR="005832CE" w:rsidRPr="005878DF" w:rsidRDefault="005832CE" w:rsidP="005832CE">
            <w:pPr>
              <w:jc w:val="center"/>
              <w:rPr>
                <w:rFonts w:ascii="Arial" w:eastAsia="Times New Roman" w:hAnsi="Arial" w:cs="Arial"/>
                <w:b/>
                <w:bCs/>
                <w:color w:val="000000"/>
                <w:sz w:val="22"/>
                <w:szCs w:val="22"/>
                <w:lang w:val="en-GB" w:eastAsia="en-GB"/>
              </w:rPr>
            </w:pPr>
            <w:r>
              <w:rPr>
                <w:rFonts w:ascii="Arial" w:eastAsia="Times New Roman" w:hAnsi="Arial" w:cs="Arial"/>
                <w:b/>
                <w:bCs/>
                <w:color w:val="000000"/>
                <w:sz w:val="22"/>
                <w:szCs w:val="22"/>
                <w:lang w:val="en-GB" w:eastAsia="en-GB"/>
              </w:rPr>
              <w:t>Complaints 2023/2024</w:t>
            </w:r>
          </w:p>
        </w:tc>
        <w:tc>
          <w:tcPr>
            <w:tcW w:w="2158" w:type="dxa"/>
            <w:tcBorders>
              <w:top w:val="single" w:sz="4" w:space="0" w:color="262626"/>
              <w:left w:val="nil"/>
              <w:bottom w:val="single" w:sz="4" w:space="0" w:color="262626"/>
              <w:right w:val="nil"/>
            </w:tcBorders>
            <w:shd w:val="clear" w:color="auto" w:fill="D9D9D9" w:themeFill="background1" w:themeFillShade="D9"/>
          </w:tcPr>
          <w:p w14:paraId="37A30117" w14:textId="554FA77C" w:rsidR="005832CE" w:rsidRPr="005878DF" w:rsidRDefault="005832CE" w:rsidP="005832CE">
            <w:pPr>
              <w:jc w:val="center"/>
              <w:rPr>
                <w:rFonts w:ascii="Arial" w:eastAsia="Times New Roman" w:hAnsi="Arial" w:cs="Arial"/>
                <w:b/>
                <w:bCs/>
                <w:color w:val="000000"/>
                <w:sz w:val="22"/>
                <w:szCs w:val="22"/>
                <w:lang w:val="en-GB" w:eastAsia="en-GB"/>
              </w:rPr>
            </w:pPr>
            <w:r>
              <w:rPr>
                <w:rFonts w:ascii="Arial" w:eastAsia="Times New Roman" w:hAnsi="Arial" w:cs="Arial"/>
                <w:b/>
                <w:bCs/>
                <w:color w:val="000000"/>
                <w:sz w:val="22"/>
                <w:szCs w:val="22"/>
                <w:lang w:val="en-GB" w:eastAsia="en-GB"/>
              </w:rPr>
              <w:t>Complaints 2024/2025</w:t>
            </w:r>
          </w:p>
        </w:tc>
      </w:tr>
      <w:tr w:rsidR="005832CE" w:rsidRPr="005878DF" w14:paraId="0ED5C75C" w14:textId="77777777" w:rsidTr="005832CE">
        <w:trPr>
          <w:trHeight w:val="567"/>
          <w:jc w:val="center"/>
        </w:trPr>
        <w:tc>
          <w:tcPr>
            <w:tcW w:w="2968" w:type="dxa"/>
            <w:tcBorders>
              <w:top w:val="single" w:sz="4" w:space="0" w:color="262626"/>
              <w:left w:val="single" w:sz="4" w:space="0" w:color="595959"/>
              <w:bottom w:val="single" w:sz="4" w:space="0" w:color="595959"/>
              <w:right w:val="single" w:sz="4" w:space="0" w:color="auto"/>
            </w:tcBorders>
            <w:noWrap/>
            <w:vAlign w:val="center"/>
            <w:hideMark/>
          </w:tcPr>
          <w:p w14:paraId="42840ACB" w14:textId="77777777" w:rsidR="005832CE" w:rsidRPr="005878DF" w:rsidRDefault="005832CE" w:rsidP="005878DF">
            <w:pPr>
              <w:rPr>
                <w:rFonts w:ascii="Arial" w:eastAsia="Times New Roman" w:hAnsi="Arial" w:cs="Arial"/>
                <w:color w:val="000000"/>
                <w:lang w:val="en-GB" w:eastAsia="en-GB"/>
              </w:rPr>
            </w:pPr>
            <w:r w:rsidRPr="005878DF">
              <w:rPr>
                <w:rFonts w:ascii="Arial" w:eastAsia="Times New Roman" w:hAnsi="Arial" w:cs="Arial"/>
                <w:color w:val="000000"/>
                <w:sz w:val="22"/>
                <w:szCs w:val="22"/>
                <w:lang w:val="en-GB" w:eastAsia="en-GB"/>
              </w:rPr>
              <w:t>Corporate</w:t>
            </w:r>
          </w:p>
        </w:tc>
        <w:tc>
          <w:tcPr>
            <w:tcW w:w="2158" w:type="dxa"/>
            <w:tcBorders>
              <w:top w:val="nil"/>
              <w:bottom w:val="single" w:sz="4" w:space="0" w:color="262626"/>
              <w:right w:val="nil"/>
            </w:tcBorders>
          </w:tcPr>
          <w:p w14:paraId="502331EF" w14:textId="30B6DA23" w:rsidR="005832CE" w:rsidRPr="005878DF" w:rsidRDefault="005832CE" w:rsidP="005832CE">
            <w:pPr>
              <w:jc w:val="center"/>
              <w:rPr>
                <w:rFonts w:ascii="Arial" w:eastAsia="Times New Roman" w:hAnsi="Arial" w:cs="Arial"/>
                <w:color w:val="000000"/>
                <w:lang w:val="en-GB" w:eastAsia="en-GB"/>
              </w:rPr>
            </w:pPr>
            <w:r>
              <w:rPr>
                <w:rFonts w:ascii="Arial" w:eastAsia="Times New Roman" w:hAnsi="Arial" w:cs="Arial"/>
                <w:color w:val="000000"/>
                <w:lang w:val="en-GB" w:eastAsia="en-GB"/>
              </w:rPr>
              <w:t>38</w:t>
            </w:r>
          </w:p>
        </w:tc>
        <w:tc>
          <w:tcPr>
            <w:tcW w:w="2158" w:type="dxa"/>
            <w:tcBorders>
              <w:top w:val="nil"/>
              <w:bottom w:val="single" w:sz="4" w:space="0" w:color="262626"/>
              <w:right w:val="nil"/>
            </w:tcBorders>
          </w:tcPr>
          <w:p w14:paraId="1F1DCA91" w14:textId="7B6EB3AB" w:rsidR="005832CE" w:rsidRPr="005878DF" w:rsidRDefault="005832CE" w:rsidP="005878DF">
            <w:pPr>
              <w:jc w:val="center"/>
              <w:rPr>
                <w:rFonts w:ascii="Arial" w:eastAsia="Times New Roman" w:hAnsi="Arial" w:cs="Arial"/>
                <w:color w:val="000000"/>
                <w:lang w:val="en-GB" w:eastAsia="en-GB"/>
              </w:rPr>
            </w:pPr>
            <w:r>
              <w:rPr>
                <w:rFonts w:ascii="Arial" w:eastAsia="Times New Roman" w:hAnsi="Arial" w:cs="Arial"/>
                <w:color w:val="000000"/>
                <w:lang w:val="en-GB" w:eastAsia="en-GB"/>
              </w:rPr>
              <w:t>33</w:t>
            </w:r>
            <w:r w:rsidRPr="005832CE">
              <w:rPr>
                <w:rFonts w:ascii="Arial" w:eastAsia="Times New Roman" w:hAnsi="Arial" w:cs="Arial"/>
                <w:color w:val="388600"/>
                <w:lang w:val="en-GB" w:eastAsia="en-GB"/>
              </w:rPr>
              <w:t>↓</w:t>
            </w:r>
          </w:p>
        </w:tc>
      </w:tr>
      <w:tr w:rsidR="005832CE" w:rsidRPr="005878DF" w14:paraId="650C43CF" w14:textId="77777777" w:rsidTr="005832CE">
        <w:trPr>
          <w:trHeight w:val="567"/>
          <w:jc w:val="center"/>
        </w:trPr>
        <w:tc>
          <w:tcPr>
            <w:tcW w:w="2968" w:type="dxa"/>
            <w:tcBorders>
              <w:top w:val="single" w:sz="4" w:space="0" w:color="595959"/>
              <w:left w:val="single" w:sz="4" w:space="0" w:color="595959"/>
              <w:bottom w:val="single" w:sz="4" w:space="0" w:color="595959"/>
              <w:right w:val="single" w:sz="4" w:space="0" w:color="auto"/>
            </w:tcBorders>
            <w:noWrap/>
            <w:vAlign w:val="center"/>
            <w:hideMark/>
          </w:tcPr>
          <w:p w14:paraId="3A4DBD69" w14:textId="77777777" w:rsidR="005832CE" w:rsidRPr="005878DF" w:rsidRDefault="005832CE" w:rsidP="005878DF">
            <w:pPr>
              <w:rPr>
                <w:rFonts w:ascii="Arial" w:eastAsia="Times New Roman" w:hAnsi="Arial" w:cs="Arial"/>
                <w:color w:val="000000"/>
                <w:lang w:val="en-GB" w:eastAsia="en-GB"/>
              </w:rPr>
            </w:pPr>
            <w:r w:rsidRPr="005878DF">
              <w:rPr>
                <w:rFonts w:ascii="Arial" w:eastAsia="Times New Roman" w:hAnsi="Arial" w:cs="Arial"/>
                <w:color w:val="000000"/>
                <w:sz w:val="22"/>
                <w:szCs w:val="22"/>
                <w:lang w:val="en-GB" w:eastAsia="en-GB"/>
              </w:rPr>
              <w:t>Diagnostics &amp; Specialties</w:t>
            </w:r>
          </w:p>
        </w:tc>
        <w:tc>
          <w:tcPr>
            <w:tcW w:w="2158" w:type="dxa"/>
            <w:tcBorders>
              <w:top w:val="nil"/>
              <w:bottom w:val="nil"/>
              <w:right w:val="nil"/>
            </w:tcBorders>
          </w:tcPr>
          <w:p w14:paraId="2D2EABCA" w14:textId="7C8FD618" w:rsidR="005832CE" w:rsidRPr="005878DF" w:rsidRDefault="005832CE" w:rsidP="005878DF">
            <w:pPr>
              <w:jc w:val="center"/>
              <w:rPr>
                <w:rFonts w:ascii="Arial" w:eastAsia="Times New Roman" w:hAnsi="Arial" w:cs="Arial"/>
                <w:color w:val="000000"/>
                <w:lang w:val="en-GB" w:eastAsia="en-GB"/>
              </w:rPr>
            </w:pPr>
            <w:r>
              <w:rPr>
                <w:rFonts w:ascii="Arial" w:eastAsia="Times New Roman" w:hAnsi="Arial" w:cs="Arial"/>
                <w:color w:val="000000"/>
                <w:lang w:val="en-GB" w:eastAsia="en-GB"/>
              </w:rPr>
              <w:t>97</w:t>
            </w:r>
          </w:p>
        </w:tc>
        <w:tc>
          <w:tcPr>
            <w:tcW w:w="2158" w:type="dxa"/>
            <w:tcBorders>
              <w:top w:val="nil"/>
              <w:bottom w:val="nil"/>
              <w:right w:val="nil"/>
            </w:tcBorders>
          </w:tcPr>
          <w:p w14:paraId="35A1F783" w14:textId="02668083" w:rsidR="005832CE" w:rsidRPr="005878DF" w:rsidRDefault="005832CE" w:rsidP="005878DF">
            <w:pPr>
              <w:jc w:val="center"/>
              <w:rPr>
                <w:rFonts w:ascii="Arial" w:eastAsia="Times New Roman" w:hAnsi="Arial" w:cs="Arial"/>
                <w:color w:val="000000"/>
                <w:lang w:val="en-GB" w:eastAsia="en-GB"/>
              </w:rPr>
            </w:pPr>
            <w:r w:rsidRPr="005832CE">
              <w:rPr>
                <w:rFonts w:ascii="Arial" w:eastAsia="Times New Roman" w:hAnsi="Arial" w:cs="Arial"/>
                <w:color w:val="000000"/>
                <w:lang w:val="en-GB" w:eastAsia="en-GB"/>
              </w:rPr>
              <w:t>68↓</w:t>
            </w:r>
          </w:p>
        </w:tc>
      </w:tr>
      <w:tr w:rsidR="005832CE" w:rsidRPr="005878DF" w14:paraId="789884CA" w14:textId="77777777" w:rsidTr="005832CE">
        <w:trPr>
          <w:trHeight w:val="567"/>
          <w:jc w:val="center"/>
        </w:trPr>
        <w:tc>
          <w:tcPr>
            <w:tcW w:w="2968" w:type="dxa"/>
            <w:tcBorders>
              <w:top w:val="single" w:sz="4" w:space="0" w:color="595959"/>
              <w:left w:val="single" w:sz="4" w:space="0" w:color="595959"/>
              <w:bottom w:val="single" w:sz="4" w:space="0" w:color="595959"/>
              <w:right w:val="single" w:sz="4" w:space="0" w:color="auto"/>
            </w:tcBorders>
            <w:noWrap/>
            <w:vAlign w:val="center"/>
            <w:hideMark/>
          </w:tcPr>
          <w:p w14:paraId="2292561C" w14:textId="77777777" w:rsidR="005832CE" w:rsidRPr="005878DF" w:rsidRDefault="005832CE" w:rsidP="005878DF">
            <w:pPr>
              <w:rPr>
                <w:rFonts w:ascii="Arial" w:eastAsia="Times New Roman" w:hAnsi="Arial" w:cs="Arial"/>
                <w:color w:val="000000"/>
                <w:lang w:val="en-GB" w:eastAsia="en-GB"/>
              </w:rPr>
            </w:pPr>
            <w:r w:rsidRPr="005878DF">
              <w:rPr>
                <w:rFonts w:ascii="Arial" w:eastAsia="Times New Roman" w:hAnsi="Arial" w:cs="Arial"/>
                <w:color w:val="000000"/>
                <w:sz w:val="22"/>
                <w:szCs w:val="22"/>
                <w:lang w:val="en-GB" w:eastAsia="en-GB"/>
              </w:rPr>
              <w:t>Estates &amp; Facilities (GMS)</w:t>
            </w:r>
          </w:p>
        </w:tc>
        <w:tc>
          <w:tcPr>
            <w:tcW w:w="2158" w:type="dxa"/>
            <w:tcBorders>
              <w:top w:val="single" w:sz="4" w:space="0" w:color="262626"/>
              <w:bottom w:val="single" w:sz="4" w:space="0" w:color="262626"/>
              <w:right w:val="nil"/>
            </w:tcBorders>
          </w:tcPr>
          <w:p w14:paraId="626DEBB0" w14:textId="108058CB" w:rsidR="005832CE" w:rsidRDefault="005832CE" w:rsidP="005878DF">
            <w:pPr>
              <w:jc w:val="center"/>
              <w:rPr>
                <w:rFonts w:ascii="Arial" w:eastAsia="Times New Roman" w:hAnsi="Arial" w:cs="Arial"/>
                <w:color w:val="000000"/>
                <w:lang w:val="en-GB" w:eastAsia="en-GB"/>
              </w:rPr>
            </w:pPr>
            <w:r>
              <w:rPr>
                <w:rFonts w:ascii="Arial" w:eastAsia="Times New Roman" w:hAnsi="Arial" w:cs="Arial"/>
                <w:color w:val="000000"/>
                <w:lang w:val="en-GB" w:eastAsia="en-GB"/>
              </w:rPr>
              <w:t>16</w:t>
            </w:r>
          </w:p>
        </w:tc>
        <w:tc>
          <w:tcPr>
            <w:tcW w:w="2158" w:type="dxa"/>
            <w:tcBorders>
              <w:top w:val="single" w:sz="4" w:space="0" w:color="262626"/>
              <w:bottom w:val="single" w:sz="4" w:space="0" w:color="262626"/>
              <w:right w:val="nil"/>
            </w:tcBorders>
          </w:tcPr>
          <w:p w14:paraId="41026803" w14:textId="3E6FBAD0" w:rsidR="005832CE" w:rsidRDefault="005832CE" w:rsidP="005878DF">
            <w:pPr>
              <w:jc w:val="center"/>
              <w:rPr>
                <w:rFonts w:ascii="Arial" w:eastAsia="Times New Roman" w:hAnsi="Arial" w:cs="Arial"/>
                <w:color w:val="000000"/>
                <w:lang w:val="en-GB" w:eastAsia="en-GB"/>
              </w:rPr>
            </w:pPr>
            <w:r w:rsidRPr="005832CE">
              <w:rPr>
                <w:rFonts w:ascii="Arial" w:eastAsia="Times New Roman" w:hAnsi="Arial" w:cs="Arial"/>
                <w:color w:val="000000"/>
                <w:lang w:val="en-GB" w:eastAsia="en-GB"/>
              </w:rPr>
              <w:t>9↓</w:t>
            </w:r>
          </w:p>
        </w:tc>
      </w:tr>
      <w:tr w:rsidR="005832CE" w:rsidRPr="005878DF" w14:paraId="6700831B" w14:textId="77777777" w:rsidTr="005832CE">
        <w:trPr>
          <w:trHeight w:val="567"/>
          <w:jc w:val="center"/>
        </w:trPr>
        <w:tc>
          <w:tcPr>
            <w:tcW w:w="2968" w:type="dxa"/>
            <w:tcBorders>
              <w:top w:val="single" w:sz="4" w:space="0" w:color="595959"/>
              <w:left w:val="single" w:sz="4" w:space="0" w:color="595959"/>
              <w:bottom w:val="single" w:sz="4" w:space="0" w:color="595959"/>
              <w:right w:val="single" w:sz="4" w:space="0" w:color="auto"/>
            </w:tcBorders>
            <w:noWrap/>
            <w:vAlign w:val="center"/>
            <w:hideMark/>
          </w:tcPr>
          <w:p w14:paraId="0E2B3039" w14:textId="77777777" w:rsidR="005832CE" w:rsidRPr="005878DF" w:rsidRDefault="005832CE" w:rsidP="005878DF">
            <w:pPr>
              <w:rPr>
                <w:rFonts w:ascii="Arial" w:eastAsia="Times New Roman" w:hAnsi="Arial" w:cs="Arial"/>
                <w:color w:val="000000"/>
                <w:lang w:val="en-GB" w:eastAsia="en-GB"/>
              </w:rPr>
            </w:pPr>
            <w:r w:rsidRPr="005878DF">
              <w:rPr>
                <w:rFonts w:ascii="Arial" w:eastAsia="Times New Roman" w:hAnsi="Arial" w:cs="Arial"/>
                <w:color w:val="000000"/>
                <w:sz w:val="22"/>
                <w:szCs w:val="22"/>
                <w:lang w:val="en-GB" w:eastAsia="en-GB"/>
              </w:rPr>
              <w:t>Medicine</w:t>
            </w:r>
          </w:p>
        </w:tc>
        <w:tc>
          <w:tcPr>
            <w:tcW w:w="2158" w:type="dxa"/>
            <w:tcBorders>
              <w:top w:val="nil"/>
              <w:bottom w:val="single" w:sz="4" w:space="0" w:color="262626"/>
              <w:right w:val="nil"/>
            </w:tcBorders>
          </w:tcPr>
          <w:p w14:paraId="12DA2BDC" w14:textId="280C249D" w:rsidR="005832CE" w:rsidRPr="005878DF" w:rsidRDefault="005832CE" w:rsidP="005878DF">
            <w:pPr>
              <w:jc w:val="center"/>
              <w:rPr>
                <w:rFonts w:ascii="Arial" w:eastAsia="Times New Roman" w:hAnsi="Arial" w:cs="Arial"/>
                <w:color w:val="000000"/>
                <w:lang w:val="en-GB" w:eastAsia="en-GB"/>
              </w:rPr>
            </w:pPr>
            <w:r>
              <w:rPr>
                <w:rFonts w:ascii="Arial" w:eastAsia="Times New Roman" w:hAnsi="Arial" w:cs="Arial"/>
                <w:color w:val="000000"/>
                <w:lang w:val="en-GB" w:eastAsia="en-GB"/>
              </w:rPr>
              <w:t>449</w:t>
            </w:r>
          </w:p>
        </w:tc>
        <w:tc>
          <w:tcPr>
            <w:tcW w:w="2158" w:type="dxa"/>
            <w:tcBorders>
              <w:top w:val="nil"/>
              <w:bottom w:val="single" w:sz="4" w:space="0" w:color="262626"/>
              <w:right w:val="nil"/>
            </w:tcBorders>
          </w:tcPr>
          <w:p w14:paraId="51DC016D" w14:textId="383886E6" w:rsidR="005832CE" w:rsidRPr="005878DF" w:rsidRDefault="005832CE" w:rsidP="005878DF">
            <w:pPr>
              <w:jc w:val="center"/>
              <w:rPr>
                <w:rFonts w:ascii="Arial" w:eastAsia="Times New Roman" w:hAnsi="Arial" w:cs="Arial"/>
                <w:color w:val="000000"/>
                <w:lang w:val="en-GB" w:eastAsia="en-GB"/>
              </w:rPr>
            </w:pPr>
            <w:r w:rsidRPr="005832CE">
              <w:rPr>
                <w:rFonts w:ascii="Arial" w:eastAsia="Times New Roman" w:hAnsi="Arial" w:cs="Arial"/>
                <w:color w:val="000000"/>
                <w:lang w:val="en-GB" w:eastAsia="en-GB"/>
              </w:rPr>
              <w:t>434↓</w:t>
            </w:r>
          </w:p>
        </w:tc>
      </w:tr>
      <w:tr w:rsidR="005832CE" w:rsidRPr="005878DF" w14:paraId="196FEE67" w14:textId="77777777" w:rsidTr="005832CE">
        <w:trPr>
          <w:trHeight w:val="567"/>
          <w:jc w:val="center"/>
        </w:trPr>
        <w:tc>
          <w:tcPr>
            <w:tcW w:w="2968" w:type="dxa"/>
            <w:tcBorders>
              <w:top w:val="single" w:sz="4" w:space="0" w:color="595959"/>
              <w:left w:val="single" w:sz="4" w:space="0" w:color="595959"/>
              <w:bottom w:val="single" w:sz="4" w:space="0" w:color="595959"/>
              <w:right w:val="single" w:sz="4" w:space="0" w:color="auto"/>
            </w:tcBorders>
            <w:noWrap/>
            <w:vAlign w:val="center"/>
            <w:hideMark/>
          </w:tcPr>
          <w:p w14:paraId="19B2A171" w14:textId="77777777" w:rsidR="005832CE" w:rsidRPr="005878DF" w:rsidRDefault="005832CE" w:rsidP="005878DF">
            <w:pPr>
              <w:rPr>
                <w:rFonts w:ascii="Arial" w:eastAsia="Times New Roman" w:hAnsi="Arial" w:cs="Arial"/>
                <w:color w:val="000000"/>
                <w:lang w:val="en-GB" w:eastAsia="en-GB"/>
              </w:rPr>
            </w:pPr>
            <w:r w:rsidRPr="005878DF">
              <w:rPr>
                <w:rFonts w:ascii="Arial" w:eastAsia="Times New Roman" w:hAnsi="Arial" w:cs="Arial"/>
                <w:color w:val="000000"/>
                <w:sz w:val="22"/>
                <w:szCs w:val="22"/>
                <w:lang w:val="en-GB" w:eastAsia="en-GB"/>
              </w:rPr>
              <w:t>Surgery</w:t>
            </w:r>
          </w:p>
        </w:tc>
        <w:tc>
          <w:tcPr>
            <w:tcW w:w="2158" w:type="dxa"/>
            <w:tcBorders>
              <w:top w:val="nil"/>
              <w:bottom w:val="single" w:sz="4" w:space="0" w:color="262626"/>
              <w:right w:val="nil"/>
            </w:tcBorders>
          </w:tcPr>
          <w:p w14:paraId="36483AEB" w14:textId="7163F6C3" w:rsidR="005832CE" w:rsidRDefault="005832CE" w:rsidP="005878DF">
            <w:pPr>
              <w:jc w:val="center"/>
              <w:rPr>
                <w:rFonts w:ascii="Arial" w:eastAsia="Times New Roman" w:hAnsi="Arial" w:cs="Arial"/>
                <w:color w:val="000000"/>
                <w:lang w:val="en-GB" w:eastAsia="en-GB"/>
              </w:rPr>
            </w:pPr>
            <w:r>
              <w:rPr>
                <w:rFonts w:ascii="Arial" w:eastAsia="Times New Roman" w:hAnsi="Arial" w:cs="Arial"/>
                <w:color w:val="000000"/>
                <w:lang w:val="en-GB" w:eastAsia="en-GB"/>
              </w:rPr>
              <w:t>334</w:t>
            </w:r>
          </w:p>
        </w:tc>
        <w:tc>
          <w:tcPr>
            <w:tcW w:w="2158" w:type="dxa"/>
            <w:tcBorders>
              <w:top w:val="nil"/>
              <w:bottom w:val="single" w:sz="4" w:space="0" w:color="262626"/>
              <w:right w:val="nil"/>
            </w:tcBorders>
          </w:tcPr>
          <w:p w14:paraId="3B877239" w14:textId="4BF4F805" w:rsidR="005832CE" w:rsidRDefault="005832CE" w:rsidP="005878DF">
            <w:pPr>
              <w:jc w:val="center"/>
              <w:rPr>
                <w:rFonts w:ascii="Arial" w:eastAsia="Times New Roman" w:hAnsi="Arial" w:cs="Arial"/>
                <w:color w:val="000000"/>
                <w:lang w:val="en-GB" w:eastAsia="en-GB"/>
              </w:rPr>
            </w:pPr>
            <w:r>
              <w:rPr>
                <w:rFonts w:ascii="Arial" w:eastAsia="Times New Roman" w:hAnsi="Arial" w:cs="Arial"/>
                <w:color w:val="000000"/>
                <w:lang w:val="en-GB" w:eastAsia="en-GB"/>
              </w:rPr>
              <w:t>368</w:t>
            </w:r>
            <w:r w:rsidRPr="005878DF">
              <w:rPr>
                <w:rFonts w:ascii="Arial" w:eastAsia="Times New Roman" w:hAnsi="Arial" w:cs="Arial"/>
                <w:b/>
                <w:color w:val="FF0000"/>
                <w:sz w:val="22"/>
                <w:szCs w:val="22"/>
                <w:lang w:val="en-GB" w:eastAsia="en-GB"/>
              </w:rPr>
              <w:t>↑</w:t>
            </w:r>
          </w:p>
        </w:tc>
      </w:tr>
      <w:tr w:rsidR="005832CE" w:rsidRPr="005878DF" w14:paraId="487AEF28" w14:textId="77777777" w:rsidTr="005832CE">
        <w:trPr>
          <w:trHeight w:val="567"/>
          <w:jc w:val="center"/>
        </w:trPr>
        <w:tc>
          <w:tcPr>
            <w:tcW w:w="2968" w:type="dxa"/>
            <w:tcBorders>
              <w:top w:val="single" w:sz="4" w:space="0" w:color="595959"/>
              <w:left w:val="single" w:sz="4" w:space="0" w:color="595959"/>
              <w:bottom w:val="single" w:sz="4" w:space="0" w:color="595959"/>
              <w:right w:val="single" w:sz="4" w:space="0" w:color="auto"/>
            </w:tcBorders>
            <w:noWrap/>
            <w:vAlign w:val="center"/>
            <w:hideMark/>
          </w:tcPr>
          <w:p w14:paraId="761995BE" w14:textId="77777777" w:rsidR="005832CE" w:rsidRPr="005878DF" w:rsidRDefault="005832CE" w:rsidP="005878DF">
            <w:pPr>
              <w:rPr>
                <w:rFonts w:ascii="Arial" w:eastAsia="Times New Roman" w:hAnsi="Arial" w:cs="Arial"/>
                <w:color w:val="000000"/>
                <w:lang w:val="en-GB" w:eastAsia="en-GB"/>
              </w:rPr>
            </w:pPr>
            <w:r w:rsidRPr="005878DF">
              <w:rPr>
                <w:rFonts w:ascii="Arial" w:eastAsia="Times New Roman" w:hAnsi="Arial" w:cs="Arial"/>
                <w:color w:val="000000"/>
                <w:sz w:val="22"/>
                <w:szCs w:val="22"/>
                <w:lang w:val="en-GB" w:eastAsia="en-GB"/>
              </w:rPr>
              <w:t>Women &amp; Children</w:t>
            </w:r>
          </w:p>
        </w:tc>
        <w:tc>
          <w:tcPr>
            <w:tcW w:w="2158" w:type="dxa"/>
            <w:tcBorders>
              <w:top w:val="nil"/>
              <w:bottom w:val="nil"/>
              <w:right w:val="nil"/>
            </w:tcBorders>
          </w:tcPr>
          <w:p w14:paraId="52A1C26E" w14:textId="5E97C33D" w:rsidR="005832CE" w:rsidRPr="005878DF" w:rsidRDefault="005832CE" w:rsidP="005878DF">
            <w:pPr>
              <w:jc w:val="center"/>
              <w:rPr>
                <w:rFonts w:ascii="Arial" w:eastAsia="Times New Roman" w:hAnsi="Arial" w:cs="Arial"/>
                <w:color w:val="000000"/>
                <w:lang w:val="en-GB" w:eastAsia="en-GB"/>
              </w:rPr>
            </w:pPr>
            <w:r>
              <w:rPr>
                <w:rFonts w:ascii="Arial" w:eastAsia="Times New Roman" w:hAnsi="Arial" w:cs="Arial"/>
                <w:color w:val="000000"/>
                <w:lang w:val="en-GB" w:eastAsia="en-GB"/>
              </w:rPr>
              <w:t>153</w:t>
            </w:r>
          </w:p>
        </w:tc>
        <w:tc>
          <w:tcPr>
            <w:tcW w:w="2158" w:type="dxa"/>
            <w:tcBorders>
              <w:top w:val="nil"/>
              <w:bottom w:val="nil"/>
              <w:right w:val="nil"/>
            </w:tcBorders>
          </w:tcPr>
          <w:p w14:paraId="66AC8EA9" w14:textId="1D7185CC" w:rsidR="005832CE" w:rsidRPr="005878DF" w:rsidRDefault="005832CE" w:rsidP="005878DF">
            <w:pPr>
              <w:jc w:val="center"/>
              <w:rPr>
                <w:rFonts w:ascii="Arial" w:eastAsia="Times New Roman" w:hAnsi="Arial" w:cs="Arial"/>
                <w:color w:val="000000"/>
                <w:lang w:val="en-GB" w:eastAsia="en-GB"/>
              </w:rPr>
            </w:pPr>
            <w:r w:rsidRPr="005878DF">
              <w:rPr>
                <w:rFonts w:ascii="Arial" w:eastAsia="Times New Roman" w:hAnsi="Arial" w:cs="Arial"/>
                <w:color w:val="000000"/>
                <w:lang w:val="en-GB" w:eastAsia="en-GB"/>
              </w:rPr>
              <w:t>1</w:t>
            </w:r>
            <w:r>
              <w:rPr>
                <w:rFonts w:ascii="Arial" w:eastAsia="Times New Roman" w:hAnsi="Arial" w:cs="Arial"/>
                <w:color w:val="000000"/>
                <w:lang w:val="en-GB" w:eastAsia="en-GB"/>
              </w:rPr>
              <w:t>63</w:t>
            </w:r>
            <w:r w:rsidRPr="005878DF">
              <w:rPr>
                <w:rFonts w:ascii="Arial" w:eastAsia="Times New Roman" w:hAnsi="Arial" w:cs="Arial"/>
                <w:b/>
                <w:color w:val="FF0000"/>
                <w:sz w:val="22"/>
                <w:szCs w:val="22"/>
                <w:lang w:val="en-GB" w:eastAsia="en-GB"/>
              </w:rPr>
              <w:t>↑</w:t>
            </w:r>
          </w:p>
        </w:tc>
      </w:tr>
      <w:tr w:rsidR="005832CE" w:rsidRPr="005878DF" w14:paraId="63ED6886" w14:textId="77777777" w:rsidTr="005832CE">
        <w:trPr>
          <w:trHeight w:val="567"/>
          <w:jc w:val="center"/>
        </w:trPr>
        <w:tc>
          <w:tcPr>
            <w:tcW w:w="2968" w:type="dxa"/>
            <w:tcBorders>
              <w:top w:val="single" w:sz="4" w:space="0" w:color="595959"/>
              <w:left w:val="single" w:sz="4" w:space="0" w:color="595959"/>
              <w:bottom w:val="single" w:sz="4" w:space="0" w:color="262626"/>
              <w:right w:val="single" w:sz="4" w:space="0" w:color="auto"/>
            </w:tcBorders>
            <w:shd w:val="clear" w:color="auto" w:fill="BFBFBF" w:themeFill="background1" w:themeFillShade="BF"/>
            <w:noWrap/>
            <w:vAlign w:val="center"/>
          </w:tcPr>
          <w:p w14:paraId="2F35B2F0" w14:textId="77777777" w:rsidR="005832CE" w:rsidRPr="005878DF" w:rsidRDefault="005832CE" w:rsidP="005878DF">
            <w:pPr>
              <w:rPr>
                <w:rFonts w:ascii="Arial" w:eastAsia="Times New Roman" w:hAnsi="Arial" w:cs="Arial"/>
                <w:b/>
                <w:color w:val="000000"/>
                <w:lang w:val="en-GB" w:eastAsia="en-GB"/>
              </w:rPr>
            </w:pPr>
            <w:r w:rsidRPr="005878DF">
              <w:rPr>
                <w:rFonts w:ascii="Arial" w:eastAsia="Times New Roman" w:hAnsi="Arial" w:cs="Arial"/>
                <w:b/>
                <w:color w:val="000000"/>
                <w:sz w:val="22"/>
                <w:szCs w:val="22"/>
                <w:lang w:val="en-GB" w:eastAsia="en-GB"/>
              </w:rPr>
              <w:t>TOTAL</w:t>
            </w:r>
          </w:p>
        </w:tc>
        <w:tc>
          <w:tcPr>
            <w:tcW w:w="2158" w:type="dxa"/>
            <w:tcBorders>
              <w:top w:val="nil"/>
              <w:bottom w:val="single" w:sz="4" w:space="0" w:color="262626"/>
              <w:right w:val="nil"/>
            </w:tcBorders>
            <w:shd w:val="clear" w:color="auto" w:fill="BFBFBF" w:themeFill="background1" w:themeFillShade="BF"/>
          </w:tcPr>
          <w:p w14:paraId="5CAC6620" w14:textId="34171B01" w:rsidR="005832CE" w:rsidRPr="005878DF" w:rsidRDefault="005832CE" w:rsidP="005832CE">
            <w:pPr>
              <w:jc w:val="center"/>
              <w:rPr>
                <w:rFonts w:ascii="Arial" w:eastAsia="Times New Roman" w:hAnsi="Arial" w:cs="Arial"/>
                <w:b/>
                <w:color w:val="000000" w:themeColor="text1"/>
                <w:lang w:val="en-GB" w:eastAsia="en-GB"/>
              </w:rPr>
            </w:pPr>
            <w:r>
              <w:rPr>
                <w:rFonts w:ascii="Arial" w:eastAsia="Times New Roman" w:hAnsi="Arial" w:cs="Arial"/>
                <w:b/>
                <w:color w:val="000000" w:themeColor="text1"/>
                <w:lang w:val="en-GB" w:eastAsia="en-GB"/>
              </w:rPr>
              <w:t>1087</w:t>
            </w:r>
          </w:p>
        </w:tc>
        <w:tc>
          <w:tcPr>
            <w:tcW w:w="2158" w:type="dxa"/>
            <w:tcBorders>
              <w:top w:val="nil"/>
              <w:bottom w:val="single" w:sz="4" w:space="0" w:color="262626"/>
              <w:right w:val="nil"/>
            </w:tcBorders>
            <w:shd w:val="clear" w:color="auto" w:fill="BFBFBF" w:themeFill="background1" w:themeFillShade="BF"/>
          </w:tcPr>
          <w:p w14:paraId="1A3B00B5" w14:textId="409778F9" w:rsidR="005832CE" w:rsidRPr="005878DF" w:rsidRDefault="005832CE" w:rsidP="005832CE">
            <w:pPr>
              <w:jc w:val="center"/>
              <w:rPr>
                <w:rFonts w:ascii="Arial" w:eastAsia="Times New Roman" w:hAnsi="Arial" w:cs="Arial"/>
                <w:b/>
                <w:color w:val="000000" w:themeColor="text1"/>
                <w:lang w:val="en-GB" w:eastAsia="en-GB"/>
              </w:rPr>
            </w:pPr>
            <w:r>
              <w:rPr>
                <w:rFonts w:ascii="Arial" w:eastAsia="Times New Roman" w:hAnsi="Arial" w:cs="Arial"/>
                <w:b/>
                <w:color w:val="000000" w:themeColor="text1"/>
                <w:lang w:val="en-GB" w:eastAsia="en-GB"/>
              </w:rPr>
              <w:t>1075</w:t>
            </w:r>
          </w:p>
        </w:tc>
      </w:tr>
    </w:tbl>
    <w:p w14:paraId="0DEF5A2C" w14:textId="77777777" w:rsidR="005878DF" w:rsidRPr="00452CE4" w:rsidRDefault="005878DF" w:rsidP="0019112D">
      <w:pPr>
        <w:jc w:val="both"/>
        <w:rPr>
          <w:rFonts w:ascii="Arial" w:hAnsi="Arial" w:cs="Arial"/>
          <w:sz w:val="22"/>
          <w:szCs w:val="22"/>
          <w:lang w:val="en-GB"/>
        </w:rPr>
      </w:pPr>
    </w:p>
    <w:p w14:paraId="0B7CDA30" w14:textId="77777777" w:rsidR="005A19F7" w:rsidRPr="00452CE4" w:rsidRDefault="005A19F7" w:rsidP="005A19F7">
      <w:pPr>
        <w:rPr>
          <w:rFonts w:ascii="Arial" w:hAnsi="Arial" w:cs="Arial"/>
          <w:sz w:val="22"/>
          <w:szCs w:val="22"/>
          <w:lang w:val="en-GB"/>
        </w:rPr>
      </w:pPr>
    </w:p>
    <w:p w14:paraId="247910B3" w14:textId="221DD2C9" w:rsidR="005D5289" w:rsidRPr="00FE6128" w:rsidRDefault="005D5289" w:rsidP="005D5289">
      <w:pPr>
        <w:spacing w:after="120"/>
        <w:jc w:val="right"/>
        <w:rPr>
          <w:rFonts w:ascii="Arial" w:hAnsi="Arial" w:cs="Arial"/>
          <w:b/>
          <w:sz w:val="22"/>
          <w:szCs w:val="22"/>
          <w:u w:val="single"/>
          <w:lang w:val="en-GB"/>
        </w:rPr>
      </w:pPr>
      <w:r w:rsidRPr="00FE6128">
        <w:rPr>
          <w:rFonts w:ascii="Arial" w:hAnsi="Arial" w:cs="Arial"/>
          <w:b/>
          <w:sz w:val="22"/>
          <w:szCs w:val="22"/>
          <w:u w:val="single"/>
          <w:lang w:val="en-GB"/>
        </w:rPr>
        <w:t xml:space="preserve">Table </w:t>
      </w:r>
      <w:r w:rsidR="00FE6128" w:rsidRPr="00FE6128">
        <w:rPr>
          <w:rFonts w:ascii="Arial" w:hAnsi="Arial" w:cs="Arial"/>
          <w:b/>
          <w:sz w:val="22"/>
          <w:szCs w:val="22"/>
          <w:u w:val="single"/>
          <w:lang w:val="en-GB"/>
        </w:rPr>
        <w:t>2</w:t>
      </w:r>
    </w:p>
    <w:p w14:paraId="64B8C8D8" w14:textId="3FF5AC54" w:rsidR="00175368" w:rsidRDefault="00293E07" w:rsidP="002B5156">
      <w:pPr>
        <w:spacing w:before="120" w:after="120"/>
        <w:jc w:val="both"/>
        <w:rPr>
          <w:rFonts w:ascii="Arial" w:hAnsi="Arial" w:cs="Arial"/>
          <w:sz w:val="22"/>
          <w:szCs w:val="22"/>
          <w:lang w:val="en-GB"/>
        </w:rPr>
      </w:pPr>
      <w:r>
        <w:rPr>
          <w:rFonts w:ascii="Arial" w:hAnsi="Arial" w:cs="Arial"/>
          <w:sz w:val="22"/>
          <w:szCs w:val="22"/>
          <w:lang w:val="en-GB"/>
        </w:rPr>
        <w:t>The</w:t>
      </w:r>
      <w:r w:rsidR="005D5289" w:rsidRPr="00452CE4">
        <w:rPr>
          <w:rFonts w:ascii="Arial" w:hAnsi="Arial" w:cs="Arial"/>
          <w:sz w:val="22"/>
          <w:szCs w:val="22"/>
          <w:lang w:val="en-GB"/>
        </w:rPr>
        <w:t xml:space="preserve"> data demonstrates, </w:t>
      </w:r>
      <w:r w:rsidR="00A70DA2">
        <w:rPr>
          <w:rFonts w:ascii="Arial" w:hAnsi="Arial" w:cs="Arial"/>
          <w:sz w:val="22"/>
          <w:szCs w:val="22"/>
          <w:lang w:val="en-GB"/>
        </w:rPr>
        <w:t xml:space="preserve">complaint numbers </w:t>
      </w:r>
      <w:r w:rsidR="003F138C">
        <w:rPr>
          <w:rFonts w:ascii="Arial" w:hAnsi="Arial" w:cs="Arial"/>
          <w:sz w:val="22"/>
          <w:szCs w:val="22"/>
          <w:lang w:val="en-GB"/>
        </w:rPr>
        <w:t>in</w:t>
      </w:r>
      <w:r w:rsidR="00A70DA2">
        <w:rPr>
          <w:rFonts w:ascii="Arial" w:hAnsi="Arial" w:cs="Arial"/>
          <w:sz w:val="22"/>
          <w:szCs w:val="22"/>
          <w:lang w:val="en-GB"/>
        </w:rPr>
        <w:t xml:space="preserve">creased </w:t>
      </w:r>
      <w:r w:rsidR="00A50437">
        <w:rPr>
          <w:rFonts w:ascii="Arial" w:hAnsi="Arial" w:cs="Arial"/>
          <w:sz w:val="22"/>
          <w:szCs w:val="22"/>
          <w:lang w:val="en-GB"/>
        </w:rPr>
        <w:t xml:space="preserve">in the </w:t>
      </w:r>
      <w:r w:rsidR="00001033">
        <w:rPr>
          <w:rFonts w:ascii="Arial" w:hAnsi="Arial" w:cs="Arial"/>
          <w:sz w:val="22"/>
          <w:szCs w:val="22"/>
          <w:lang w:val="en-GB"/>
        </w:rPr>
        <w:t>Women’s &amp; Children’s and Surgical</w:t>
      </w:r>
      <w:r w:rsidR="00A70DA2">
        <w:rPr>
          <w:rFonts w:ascii="Arial" w:hAnsi="Arial" w:cs="Arial"/>
          <w:sz w:val="22"/>
          <w:szCs w:val="22"/>
          <w:lang w:val="en-GB"/>
        </w:rPr>
        <w:t xml:space="preserve"> Divisions</w:t>
      </w:r>
      <w:r w:rsidR="00001033">
        <w:rPr>
          <w:rFonts w:ascii="Arial" w:hAnsi="Arial" w:cs="Arial"/>
          <w:sz w:val="22"/>
          <w:szCs w:val="22"/>
          <w:lang w:val="en-GB"/>
        </w:rPr>
        <w:t>. Complaint num</w:t>
      </w:r>
      <w:r w:rsidR="00D51633">
        <w:rPr>
          <w:rFonts w:ascii="Arial" w:hAnsi="Arial" w:cs="Arial"/>
          <w:sz w:val="22"/>
          <w:szCs w:val="22"/>
          <w:lang w:val="en-GB"/>
        </w:rPr>
        <w:t xml:space="preserve">bers decreased across all other Divisions, with the most significant decrease in the Diagnostics &amp; Specialties Division. </w:t>
      </w:r>
    </w:p>
    <w:p w14:paraId="37EDA3C1" w14:textId="405AD0DD" w:rsidR="002D40C0" w:rsidRDefault="005D5289" w:rsidP="002D40C0">
      <w:pPr>
        <w:spacing w:after="120"/>
        <w:jc w:val="both"/>
        <w:rPr>
          <w:rFonts w:ascii="Arial" w:hAnsi="Arial" w:cs="Arial"/>
          <w:sz w:val="22"/>
          <w:szCs w:val="22"/>
          <w:lang w:val="en-GB"/>
        </w:rPr>
      </w:pPr>
      <w:bookmarkStart w:id="3" w:name="_Hlk206342767"/>
      <w:r w:rsidRPr="00452CE4">
        <w:rPr>
          <w:rFonts w:ascii="Arial" w:hAnsi="Arial" w:cs="Arial"/>
          <w:sz w:val="22"/>
          <w:szCs w:val="22"/>
          <w:lang w:val="en-GB"/>
        </w:rPr>
        <w:t xml:space="preserve">In order to support the processes in place for medical staff and junior doctors our complaints are </w:t>
      </w:r>
      <w:r w:rsidRPr="002447C3">
        <w:rPr>
          <w:rFonts w:ascii="Arial" w:hAnsi="Arial" w:cs="Arial"/>
          <w:sz w:val="22"/>
          <w:szCs w:val="22"/>
          <w:lang w:val="en-GB"/>
        </w:rPr>
        <w:t>broken down by staff group. The three groups receiving the ma</w:t>
      </w:r>
      <w:r w:rsidR="003963C1" w:rsidRPr="002447C3">
        <w:rPr>
          <w:rFonts w:ascii="Arial" w:hAnsi="Arial" w:cs="Arial"/>
          <w:sz w:val="22"/>
          <w:szCs w:val="22"/>
          <w:lang w:val="en-GB"/>
        </w:rPr>
        <w:t>jority of complaints</w:t>
      </w:r>
      <w:r w:rsidR="009204E8" w:rsidRPr="002447C3">
        <w:rPr>
          <w:rFonts w:ascii="Arial" w:hAnsi="Arial" w:cs="Arial"/>
          <w:sz w:val="22"/>
          <w:szCs w:val="22"/>
          <w:lang w:val="en-GB"/>
        </w:rPr>
        <w:t xml:space="preserve"> during 20</w:t>
      </w:r>
      <w:r w:rsidR="003F138C" w:rsidRPr="002447C3">
        <w:rPr>
          <w:rFonts w:ascii="Arial" w:hAnsi="Arial" w:cs="Arial"/>
          <w:sz w:val="22"/>
          <w:szCs w:val="22"/>
          <w:lang w:val="en-GB"/>
        </w:rPr>
        <w:t>2</w:t>
      </w:r>
      <w:r w:rsidR="002865C3">
        <w:rPr>
          <w:rFonts w:ascii="Arial" w:hAnsi="Arial" w:cs="Arial"/>
          <w:sz w:val="22"/>
          <w:szCs w:val="22"/>
          <w:lang w:val="en-GB"/>
        </w:rPr>
        <w:t>4/20</w:t>
      </w:r>
      <w:r w:rsidR="00D52672">
        <w:rPr>
          <w:rFonts w:ascii="Arial" w:hAnsi="Arial" w:cs="Arial"/>
          <w:sz w:val="22"/>
          <w:szCs w:val="22"/>
          <w:lang w:val="en-GB"/>
        </w:rPr>
        <w:t>25</w:t>
      </w:r>
      <w:r w:rsidR="009204E8" w:rsidRPr="002447C3">
        <w:rPr>
          <w:rFonts w:ascii="Arial" w:hAnsi="Arial" w:cs="Arial"/>
          <w:sz w:val="22"/>
          <w:szCs w:val="22"/>
          <w:lang w:val="en-GB"/>
        </w:rPr>
        <w:t xml:space="preserve"> </w:t>
      </w:r>
      <w:r w:rsidR="002D40C0">
        <w:rPr>
          <w:rFonts w:ascii="Arial" w:hAnsi="Arial" w:cs="Arial"/>
          <w:sz w:val="22"/>
          <w:szCs w:val="22"/>
          <w:lang w:val="en-GB"/>
        </w:rPr>
        <w:t xml:space="preserve">were </w:t>
      </w:r>
      <w:r w:rsidR="002D40C0" w:rsidRPr="002D40C0">
        <w:rPr>
          <w:rFonts w:ascii="Arial" w:hAnsi="Arial" w:cs="Arial"/>
          <w:sz w:val="22"/>
          <w:szCs w:val="22"/>
          <w:lang w:val="en-GB"/>
        </w:rPr>
        <w:t xml:space="preserve">Medical </w:t>
      </w:r>
      <w:r w:rsidR="002D40C0">
        <w:rPr>
          <w:rFonts w:ascii="Arial" w:hAnsi="Arial" w:cs="Arial"/>
          <w:sz w:val="22"/>
          <w:szCs w:val="22"/>
          <w:lang w:val="en-GB"/>
        </w:rPr>
        <w:t>(</w:t>
      </w:r>
      <w:r w:rsidR="002D40C0" w:rsidRPr="002D40C0">
        <w:rPr>
          <w:rFonts w:ascii="Arial" w:hAnsi="Arial" w:cs="Arial"/>
          <w:sz w:val="22"/>
          <w:szCs w:val="22"/>
          <w:lang w:val="en-GB"/>
        </w:rPr>
        <w:t>702</w:t>
      </w:r>
      <w:r w:rsidR="002D40C0">
        <w:rPr>
          <w:rFonts w:ascii="Arial" w:hAnsi="Arial" w:cs="Arial"/>
          <w:sz w:val="22"/>
          <w:szCs w:val="22"/>
          <w:lang w:val="en-GB"/>
        </w:rPr>
        <w:t xml:space="preserve">, </w:t>
      </w:r>
      <w:r w:rsidR="002D40C0" w:rsidRPr="002D40C0">
        <w:rPr>
          <w:rFonts w:ascii="Arial" w:hAnsi="Arial" w:cs="Arial"/>
          <w:sz w:val="22"/>
          <w:szCs w:val="22"/>
          <w:lang w:val="en-GB"/>
        </w:rPr>
        <w:t xml:space="preserve">Nursing </w:t>
      </w:r>
      <w:r w:rsidR="002D40C0">
        <w:rPr>
          <w:rFonts w:ascii="Arial" w:hAnsi="Arial" w:cs="Arial"/>
          <w:sz w:val="22"/>
          <w:szCs w:val="22"/>
          <w:lang w:val="en-GB"/>
        </w:rPr>
        <w:t>(</w:t>
      </w:r>
      <w:r w:rsidR="002D40C0" w:rsidRPr="002D40C0">
        <w:rPr>
          <w:rFonts w:ascii="Arial" w:hAnsi="Arial" w:cs="Arial"/>
          <w:sz w:val="22"/>
          <w:szCs w:val="22"/>
          <w:lang w:val="en-GB"/>
        </w:rPr>
        <w:t>349</w:t>
      </w:r>
      <w:r w:rsidR="002D40C0">
        <w:rPr>
          <w:rFonts w:ascii="Arial" w:hAnsi="Arial" w:cs="Arial"/>
          <w:sz w:val="22"/>
          <w:szCs w:val="22"/>
          <w:lang w:val="en-GB"/>
        </w:rPr>
        <w:t xml:space="preserve">) and Clinical Support (115). The numbers of each complaint recorded against these staff groups have however decreased when compared to 2023/2024. </w:t>
      </w:r>
    </w:p>
    <w:p w14:paraId="08E57313" w14:textId="41C50148" w:rsidR="002D40C0" w:rsidRPr="002447C3" w:rsidRDefault="002D40C0" w:rsidP="002D40C0">
      <w:pPr>
        <w:spacing w:after="120"/>
        <w:jc w:val="both"/>
        <w:rPr>
          <w:rFonts w:ascii="Arial" w:hAnsi="Arial" w:cs="Arial"/>
          <w:sz w:val="22"/>
          <w:szCs w:val="22"/>
          <w:lang w:val="en-GB"/>
        </w:rPr>
      </w:pPr>
      <w:r>
        <w:rPr>
          <w:rFonts w:ascii="Arial" w:hAnsi="Arial" w:cs="Arial"/>
          <w:sz w:val="22"/>
          <w:szCs w:val="22"/>
          <w:lang w:val="en-GB"/>
        </w:rPr>
        <w:t xml:space="preserve">2023/2024 saw an increase in the number complaints relating to midwifery care (72 to 107). This has decreased significantly in 2024/2025, with 57 recorded against this staff group.   </w:t>
      </w:r>
    </w:p>
    <w:p w14:paraId="2B30FC74" w14:textId="1606993F" w:rsidR="00773568" w:rsidRDefault="005D5289" w:rsidP="0019112D">
      <w:pPr>
        <w:spacing w:after="120"/>
        <w:jc w:val="both"/>
        <w:rPr>
          <w:rFonts w:ascii="Arial" w:hAnsi="Arial" w:cs="Arial"/>
          <w:sz w:val="22"/>
          <w:szCs w:val="22"/>
          <w:lang w:val="en-GB"/>
        </w:rPr>
      </w:pPr>
      <w:r w:rsidRPr="00452CE4">
        <w:rPr>
          <w:rFonts w:ascii="Arial" w:hAnsi="Arial" w:cs="Arial"/>
          <w:sz w:val="22"/>
          <w:szCs w:val="22"/>
          <w:lang w:val="en-GB"/>
        </w:rPr>
        <w:t xml:space="preserve">Complaints involving </w:t>
      </w:r>
      <w:r w:rsidR="004A73C5" w:rsidRPr="00452CE4">
        <w:rPr>
          <w:rFonts w:ascii="Arial" w:hAnsi="Arial" w:cs="Arial"/>
          <w:sz w:val="22"/>
          <w:szCs w:val="22"/>
          <w:lang w:val="en-GB"/>
        </w:rPr>
        <w:t xml:space="preserve">senior </w:t>
      </w:r>
      <w:r w:rsidRPr="00452CE4">
        <w:rPr>
          <w:rFonts w:ascii="Arial" w:hAnsi="Arial" w:cs="Arial"/>
          <w:sz w:val="22"/>
          <w:szCs w:val="22"/>
          <w:lang w:val="en-GB"/>
        </w:rPr>
        <w:t xml:space="preserve">medical staff are recorded and doctors must submit this information for review and discussion at their appraisal. </w:t>
      </w:r>
      <w:r w:rsidR="002447C3">
        <w:rPr>
          <w:rFonts w:ascii="Arial" w:hAnsi="Arial" w:cs="Arial"/>
          <w:sz w:val="22"/>
          <w:szCs w:val="22"/>
          <w:lang w:val="en-GB"/>
        </w:rPr>
        <w:t>C</w:t>
      </w:r>
      <w:r w:rsidRPr="00452CE4">
        <w:rPr>
          <w:rFonts w:ascii="Arial" w:hAnsi="Arial" w:cs="Arial"/>
          <w:sz w:val="22"/>
          <w:szCs w:val="22"/>
          <w:lang w:val="en-GB"/>
        </w:rPr>
        <w:t>omplaints involving junior doctors are highlighted to the Deanery for further consideration with the doctor’s educational supervisor</w:t>
      </w:r>
      <w:r w:rsidR="00D218D4" w:rsidRPr="00452CE4">
        <w:rPr>
          <w:rFonts w:ascii="Arial" w:hAnsi="Arial" w:cs="Arial"/>
          <w:sz w:val="22"/>
          <w:szCs w:val="22"/>
          <w:lang w:val="en-GB"/>
        </w:rPr>
        <w:t xml:space="preserve">. </w:t>
      </w:r>
    </w:p>
    <w:p w14:paraId="1631C92D" w14:textId="77777777" w:rsidR="00950F24" w:rsidRPr="00452CE4" w:rsidRDefault="00950F24" w:rsidP="00950F24">
      <w:pPr>
        <w:jc w:val="both"/>
        <w:rPr>
          <w:rFonts w:ascii="Arial" w:hAnsi="Arial" w:cs="Arial"/>
          <w:sz w:val="22"/>
          <w:szCs w:val="22"/>
          <w:lang w:val="en-GB"/>
        </w:rPr>
      </w:pPr>
    </w:p>
    <w:bookmarkEnd w:id="3"/>
    <w:p w14:paraId="0739C6B2" w14:textId="77777777" w:rsidR="00C60DCB" w:rsidRPr="00452CE4" w:rsidRDefault="00ED5D07" w:rsidP="00ED5D07">
      <w:pPr>
        <w:jc w:val="both"/>
        <w:rPr>
          <w:rFonts w:ascii="Arial" w:eastAsia="Times New Roman" w:hAnsi="Arial" w:cs="Arial"/>
          <w:b/>
          <w:sz w:val="22"/>
          <w:szCs w:val="22"/>
          <w:lang w:val="en-GB"/>
        </w:rPr>
      </w:pPr>
      <w:r w:rsidRPr="00452CE4">
        <w:rPr>
          <w:rFonts w:ascii="Arial" w:hAnsi="Arial" w:cs="Arial"/>
          <w:b/>
          <w:sz w:val="22"/>
          <w:szCs w:val="22"/>
          <w:lang w:val="en-GB"/>
        </w:rPr>
        <w:t xml:space="preserve">4. </w:t>
      </w:r>
      <w:r w:rsidR="00C60DCB" w:rsidRPr="00452CE4">
        <w:rPr>
          <w:rFonts w:ascii="Arial" w:hAnsi="Arial" w:cs="Arial"/>
          <w:b/>
          <w:sz w:val="22"/>
          <w:szCs w:val="22"/>
          <w:lang w:val="en-GB"/>
        </w:rPr>
        <w:t>Outcome</w:t>
      </w:r>
      <w:r w:rsidR="00C81DB8" w:rsidRPr="00452CE4">
        <w:rPr>
          <w:rFonts w:ascii="Arial" w:hAnsi="Arial" w:cs="Arial"/>
          <w:b/>
          <w:sz w:val="22"/>
          <w:szCs w:val="22"/>
          <w:lang w:val="en-GB"/>
        </w:rPr>
        <w:t>s</w:t>
      </w:r>
    </w:p>
    <w:p w14:paraId="4E885E19" w14:textId="77777777" w:rsidR="00C60DCB" w:rsidRPr="00452CE4" w:rsidRDefault="00C60DCB" w:rsidP="00C60DCB">
      <w:pPr>
        <w:pStyle w:val="ListParagraph"/>
        <w:jc w:val="both"/>
        <w:rPr>
          <w:rFonts w:ascii="Arial" w:hAnsi="Arial" w:cs="Arial"/>
          <w:sz w:val="22"/>
          <w:szCs w:val="22"/>
          <w:lang w:val="en-GB"/>
        </w:rPr>
      </w:pPr>
    </w:p>
    <w:p w14:paraId="219AE7EC" w14:textId="266BA39E" w:rsidR="00C03295" w:rsidRDefault="005A19F7" w:rsidP="00ED5D07">
      <w:pPr>
        <w:jc w:val="both"/>
        <w:rPr>
          <w:rFonts w:ascii="Arial" w:eastAsia="Times New Roman" w:hAnsi="Arial" w:cs="Arial"/>
          <w:sz w:val="22"/>
          <w:szCs w:val="22"/>
          <w:lang w:val="en-GB"/>
        </w:rPr>
      </w:pPr>
      <w:r w:rsidRPr="005832CE">
        <w:rPr>
          <w:rFonts w:ascii="Arial" w:eastAsia="Times New Roman" w:hAnsi="Arial" w:cs="Arial"/>
          <w:b/>
          <w:bCs/>
          <w:sz w:val="22"/>
          <w:szCs w:val="22"/>
          <w:lang w:val="en-GB"/>
        </w:rPr>
        <w:t xml:space="preserve">Table </w:t>
      </w:r>
      <w:r w:rsidR="00FE6128">
        <w:rPr>
          <w:rFonts w:ascii="Arial" w:eastAsia="Times New Roman" w:hAnsi="Arial" w:cs="Arial"/>
          <w:b/>
          <w:bCs/>
          <w:sz w:val="22"/>
          <w:szCs w:val="22"/>
          <w:lang w:val="en-GB"/>
        </w:rPr>
        <w:t>3</w:t>
      </w:r>
      <w:r w:rsidR="001704C6" w:rsidRPr="005832CE">
        <w:rPr>
          <w:rFonts w:ascii="Arial" w:eastAsia="Times New Roman" w:hAnsi="Arial" w:cs="Arial"/>
          <w:sz w:val="22"/>
          <w:szCs w:val="22"/>
          <w:lang w:val="en-GB"/>
        </w:rPr>
        <w:t xml:space="preserve"> </w:t>
      </w:r>
      <w:r w:rsidR="00084590" w:rsidRPr="005832CE">
        <w:rPr>
          <w:rFonts w:ascii="Arial" w:eastAsia="Times New Roman" w:hAnsi="Arial" w:cs="Arial"/>
          <w:sz w:val="22"/>
          <w:szCs w:val="22"/>
          <w:lang w:val="en-GB"/>
        </w:rPr>
        <w:t>below</w:t>
      </w:r>
      <w:r w:rsidR="00084590">
        <w:rPr>
          <w:rFonts w:ascii="Arial" w:eastAsia="Times New Roman" w:hAnsi="Arial" w:cs="Arial"/>
          <w:sz w:val="22"/>
          <w:szCs w:val="22"/>
          <w:lang w:val="en-GB"/>
        </w:rPr>
        <w:t xml:space="preserve"> </w:t>
      </w:r>
      <w:r w:rsidR="001704C6" w:rsidRPr="00452CE4">
        <w:rPr>
          <w:rFonts w:ascii="Arial" w:eastAsia="Times New Roman" w:hAnsi="Arial" w:cs="Arial"/>
          <w:sz w:val="22"/>
          <w:szCs w:val="22"/>
          <w:lang w:val="en-GB"/>
        </w:rPr>
        <w:t>demonstrates the breakdown, by quarter, o</w:t>
      </w:r>
      <w:r w:rsidR="003963C1" w:rsidRPr="00452CE4">
        <w:rPr>
          <w:rFonts w:ascii="Arial" w:eastAsia="Times New Roman" w:hAnsi="Arial" w:cs="Arial"/>
          <w:sz w:val="22"/>
          <w:szCs w:val="22"/>
          <w:lang w:val="en-GB"/>
        </w:rPr>
        <w:t>f complaint outcomes during</w:t>
      </w:r>
      <w:r w:rsidR="009204E8">
        <w:rPr>
          <w:rFonts w:ascii="Arial" w:eastAsia="Times New Roman" w:hAnsi="Arial" w:cs="Arial"/>
          <w:sz w:val="22"/>
          <w:szCs w:val="22"/>
          <w:lang w:val="en-GB"/>
        </w:rPr>
        <w:t xml:space="preserve"> 202</w:t>
      </w:r>
      <w:r w:rsidR="007D1511">
        <w:rPr>
          <w:rFonts w:ascii="Arial" w:eastAsia="Times New Roman" w:hAnsi="Arial" w:cs="Arial"/>
          <w:sz w:val="22"/>
          <w:szCs w:val="22"/>
          <w:lang w:val="en-GB"/>
        </w:rPr>
        <w:t>4/2025.</w:t>
      </w:r>
    </w:p>
    <w:p w14:paraId="3996EE9F" w14:textId="77777777" w:rsidR="00C03295" w:rsidRDefault="00C03295" w:rsidP="00ED5D07">
      <w:pPr>
        <w:jc w:val="both"/>
        <w:rPr>
          <w:rFonts w:ascii="Arial" w:eastAsia="Times New Roman" w:hAnsi="Arial" w:cs="Arial"/>
          <w:sz w:val="22"/>
          <w:szCs w:val="22"/>
          <w:lang w:val="en-GB"/>
        </w:rPr>
      </w:pPr>
    </w:p>
    <w:tbl>
      <w:tblPr>
        <w:tblW w:w="10340" w:type="dxa"/>
        <w:tblLook w:val="04A0" w:firstRow="1" w:lastRow="0" w:firstColumn="1" w:lastColumn="0" w:noHBand="0" w:noVBand="1"/>
      </w:tblPr>
      <w:tblGrid>
        <w:gridCol w:w="2860"/>
        <w:gridCol w:w="1360"/>
        <w:gridCol w:w="1360"/>
        <w:gridCol w:w="1360"/>
        <w:gridCol w:w="2040"/>
        <w:gridCol w:w="1360"/>
      </w:tblGrid>
      <w:tr w:rsidR="00D37799" w:rsidRPr="00D37799" w14:paraId="1ADEE1F9" w14:textId="77777777" w:rsidTr="001F4F5D">
        <w:trPr>
          <w:trHeight w:val="334"/>
        </w:trPr>
        <w:tc>
          <w:tcPr>
            <w:tcW w:w="2860" w:type="dxa"/>
            <w:tcBorders>
              <w:top w:val="single" w:sz="4" w:space="0" w:color="auto"/>
              <w:left w:val="single" w:sz="4" w:space="0" w:color="auto"/>
              <w:bottom w:val="single" w:sz="4" w:space="0" w:color="auto"/>
              <w:right w:val="single" w:sz="4" w:space="0" w:color="auto"/>
            </w:tcBorders>
            <w:shd w:val="clear" w:color="000000" w:fill="B8CCE4"/>
            <w:noWrap/>
            <w:vAlign w:val="bottom"/>
            <w:hideMark/>
          </w:tcPr>
          <w:p w14:paraId="21A052B8" w14:textId="77777777" w:rsidR="00D37799" w:rsidRPr="00D37799" w:rsidRDefault="00D37799" w:rsidP="00D37799">
            <w:pPr>
              <w:rPr>
                <w:rFonts w:ascii="Calibri" w:eastAsia="Times New Roman" w:hAnsi="Calibri" w:cs="Calibri"/>
                <w:b/>
                <w:bCs/>
                <w:color w:val="000000"/>
                <w:lang w:val="en-GB" w:eastAsia="en-GB"/>
              </w:rPr>
            </w:pPr>
            <w:r w:rsidRPr="00D37799">
              <w:rPr>
                <w:rFonts w:ascii="Calibri" w:eastAsia="Times New Roman" w:hAnsi="Calibri" w:cs="Calibri"/>
                <w:b/>
                <w:bCs/>
                <w:color w:val="000000"/>
                <w:lang w:val="en-GB" w:eastAsia="en-GB"/>
              </w:rPr>
              <w:t> Outcome 24/25</w:t>
            </w:r>
          </w:p>
        </w:tc>
        <w:tc>
          <w:tcPr>
            <w:tcW w:w="1360" w:type="dxa"/>
            <w:tcBorders>
              <w:top w:val="single" w:sz="4" w:space="0" w:color="auto"/>
              <w:left w:val="nil"/>
              <w:bottom w:val="single" w:sz="4" w:space="0" w:color="auto"/>
              <w:right w:val="single" w:sz="4" w:space="0" w:color="auto"/>
            </w:tcBorders>
            <w:shd w:val="clear" w:color="000000" w:fill="B8CCE4"/>
            <w:noWrap/>
            <w:vAlign w:val="center"/>
            <w:hideMark/>
          </w:tcPr>
          <w:p w14:paraId="1E923051" w14:textId="77777777" w:rsidR="00D37799" w:rsidRPr="00D37799" w:rsidRDefault="00D37799" w:rsidP="00D37799">
            <w:pPr>
              <w:jc w:val="center"/>
              <w:rPr>
                <w:rFonts w:ascii="Calibri" w:eastAsia="Times New Roman" w:hAnsi="Calibri" w:cs="Calibri"/>
                <w:b/>
                <w:bCs/>
                <w:color w:val="000000"/>
                <w:lang w:val="en-GB" w:eastAsia="en-GB"/>
              </w:rPr>
            </w:pPr>
            <w:r w:rsidRPr="00D37799">
              <w:rPr>
                <w:rFonts w:ascii="Calibri" w:eastAsia="Times New Roman" w:hAnsi="Calibri" w:cs="Calibri"/>
                <w:b/>
                <w:bCs/>
                <w:color w:val="000000"/>
                <w:lang w:val="en-GB" w:eastAsia="en-GB"/>
              </w:rPr>
              <w:t>Q1</w:t>
            </w:r>
          </w:p>
        </w:tc>
        <w:tc>
          <w:tcPr>
            <w:tcW w:w="1360" w:type="dxa"/>
            <w:tcBorders>
              <w:top w:val="single" w:sz="4" w:space="0" w:color="auto"/>
              <w:left w:val="nil"/>
              <w:bottom w:val="single" w:sz="4" w:space="0" w:color="auto"/>
              <w:right w:val="single" w:sz="4" w:space="0" w:color="auto"/>
            </w:tcBorders>
            <w:shd w:val="clear" w:color="000000" w:fill="B8CCE4"/>
            <w:noWrap/>
            <w:vAlign w:val="center"/>
            <w:hideMark/>
          </w:tcPr>
          <w:p w14:paraId="6954543D" w14:textId="77777777" w:rsidR="00D37799" w:rsidRPr="00D37799" w:rsidRDefault="00D37799" w:rsidP="00D37799">
            <w:pPr>
              <w:jc w:val="center"/>
              <w:rPr>
                <w:rFonts w:ascii="Calibri" w:eastAsia="Times New Roman" w:hAnsi="Calibri" w:cs="Calibri"/>
                <w:b/>
                <w:bCs/>
                <w:color w:val="000000"/>
                <w:lang w:val="en-GB" w:eastAsia="en-GB"/>
              </w:rPr>
            </w:pPr>
            <w:r w:rsidRPr="00D37799">
              <w:rPr>
                <w:rFonts w:ascii="Calibri" w:eastAsia="Times New Roman" w:hAnsi="Calibri" w:cs="Calibri"/>
                <w:b/>
                <w:bCs/>
                <w:color w:val="000000"/>
                <w:lang w:val="en-GB" w:eastAsia="en-GB"/>
              </w:rPr>
              <w:t>Q2</w:t>
            </w:r>
          </w:p>
        </w:tc>
        <w:tc>
          <w:tcPr>
            <w:tcW w:w="1360" w:type="dxa"/>
            <w:tcBorders>
              <w:top w:val="single" w:sz="4" w:space="0" w:color="auto"/>
              <w:left w:val="nil"/>
              <w:bottom w:val="single" w:sz="4" w:space="0" w:color="auto"/>
              <w:right w:val="single" w:sz="4" w:space="0" w:color="auto"/>
            </w:tcBorders>
            <w:shd w:val="clear" w:color="000000" w:fill="B8CCE4"/>
            <w:noWrap/>
            <w:vAlign w:val="center"/>
            <w:hideMark/>
          </w:tcPr>
          <w:p w14:paraId="63308691" w14:textId="77777777" w:rsidR="00D37799" w:rsidRPr="00D37799" w:rsidRDefault="00D37799" w:rsidP="00D37799">
            <w:pPr>
              <w:jc w:val="center"/>
              <w:rPr>
                <w:rFonts w:ascii="Calibri" w:eastAsia="Times New Roman" w:hAnsi="Calibri" w:cs="Calibri"/>
                <w:b/>
                <w:bCs/>
                <w:color w:val="000000"/>
                <w:lang w:val="en-GB" w:eastAsia="en-GB"/>
              </w:rPr>
            </w:pPr>
            <w:r w:rsidRPr="00D37799">
              <w:rPr>
                <w:rFonts w:ascii="Calibri" w:eastAsia="Times New Roman" w:hAnsi="Calibri" w:cs="Calibri"/>
                <w:b/>
                <w:bCs/>
                <w:color w:val="000000"/>
                <w:lang w:val="en-GB" w:eastAsia="en-GB"/>
              </w:rPr>
              <w:t>Q3</w:t>
            </w:r>
          </w:p>
        </w:tc>
        <w:tc>
          <w:tcPr>
            <w:tcW w:w="2040" w:type="dxa"/>
            <w:tcBorders>
              <w:top w:val="single" w:sz="4" w:space="0" w:color="auto"/>
              <w:left w:val="nil"/>
              <w:bottom w:val="single" w:sz="4" w:space="0" w:color="auto"/>
              <w:right w:val="single" w:sz="4" w:space="0" w:color="auto"/>
            </w:tcBorders>
            <w:shd w:val="clear" w:color="000000" w:fill="B8CCE4"/>
            <w:noWrap/>
            <w:vAlign w:val="center"/>
            <w:hideMark/>
          </w:tcPr>
          <w:p w14:paraId="57A763C8" w14:textId="77777777" w:rsidR="00D37799" w:rsidRPr="00D37799" w:rsidRDefault="00D37799" w:rsidP="00D37799">
            <w:pPr>
              <w:jc w:val="center"/>
              <w:rPr>
                <w:rFonts w:ascii="Calibri" w:eastAsia="Times New Roman" w:hAnsi="Calibri" w:cs="Calibri"/>
                <w:b/>
                <w:bCs/>
                <w:color w:val="000000"/>
                <w:lang w:val="en-GB" w:eastAsia="en-GB"/>
              </w:rPr>
            </w:pPr>
            <w:r w:rsidRPr="00D37799">
              <w:rPr>
                <w:rFonts w:ascii="Calibri" w:eastAsia="Times New Roman" w:hAnsi="Calibri" w:cs="Calibri"/>
                <w:b/>
                <w:bCs/>
                <w:color w:val="000000"/>
                <w:lang w:val="en-GB" w:eastAsia="en-GB"/>
              </w:rPr>
              <w:t>Q4</w:t>
            </w:r>
          </w:p>
        </w:tc>
        <w:tc>
          <w:tcPr>
            <w:tcW w:w="1360" w:type="dxa"/>
            <w:tcBorders>
              <w:top w:val="single" w:sz="4" w:space="0" w:color="auto"/>
              <w:left w:val="nil"/>
              <w:bottom w:val="single" w:sz="4" w:space="0" w:color="auto"/>
              <w:right w:val="single" w:sz="4" w:space="0" w:color="auto"/>
            </w:tcBorders>
            <w:shd w:val="clear" w:color="000000" w:fill="B8CCE4"/>
            <w:noWrap/>
            <w:vAlign w:val="center"/>
            <w:hideMark/>
          </w:tcPr>
          <w:p w14:paraId="4BABDA34" w14:textId="77777777" w:rsidR="00D37799" w:rsidRPr="00D37799" w:rsidRDefault="00D37799" w:rsidP="00D37799">
            <w:pPr>
              <w:jc w:val="center"/>
              <w:rPr>
                <w:rFonts w:ascii="Calibri" w:eastAsia="Times New Roman" w:hAnsi="Calibri" w:cs="Calibri"/>
                <w:b/>
                <w:bCs/>
                <w:color w:val="000000"/>
                <w:lang w:val="en-GB" w:eastAsia="en-GB"/>
              </w:rPr>
            </w:pPr>
            <w:r w:rsidRPr="00D37799">
              <w:rPr>
                <w:rFonts w:ascii="Calibri" w:eastAsia="Times New Roman" w:hAnsi="Calibri" w:cs="Calibri"/>
                <w:b/>
                <w:bCs/>
                <w:color w:val="000000"/>
                <w:lang w:val="en-GB" w:eastAsia="en-GB"/>
              </w:rPr>
              <w:t>YTD Total</w:t>
            </w:r>
          </w:p>
        </w:tc>
      </w:tr>
      <w:tr w:rsidR="00D37799" w:rsidRPr="00D37799" w14:paraId="2817F9C9" w14:textId="77777777" w:rsidTr="001F4F5D">
        <w:trPr>
          <w:trHeight w:val="334"/>
        </w:trPr>
        <w:tc>
          <w:tcPr>
            <w:tcW w:w="2860" w:type="dxa"/>
            <w:tcBorders>
              <w:top w:val="nil"/>
              <w:left w:val="single" w:sz="4" w:space="0" w:color="auto"/>
              <w:bottom w:val="single" w:sz="4" w:space="0" w:color="auto"/>
              <w:right w:val="single" w:sz="4" w:space="0" w:color="auto"/>
            </w:tcBorders>
            <w:noWrap/>
            <w:vAlign w:val="bottom"/>
            <w:hideMark/>
          </w:tcPr>
          <w:p w14:paraId="738FC234" w14:textId="77777777" w:rsidR="00D37799" w:rsidRPr="00D37799" w:rsidRDefault="00D37799" w:rsidP="00D37799">
            <w:pPr>
              <w:rPr>
                <w:rFonts w:ascii="Calibri" w:eastAsia="Times New Roman" w:hAnsi="Calibri" w:cs="Calibri"/>
                <w:color w:val="000000"/>
                <w:lang w:val="en-GB" w:eastAsia="en-GB"/>
              </w:rPr>
            </w:pPr>
            <w:r w:rsidRPr="00D37799">
              <w:rPr>
                <w:rFonts w:ascii="Calibri" w:eastAsia="Times New Roman" w:hAnsi="Calibri" w:cs="Calibri"/>
                <w:color w:val="000000"/>
                <w:lang w:val="en-GB" w:eastAsia="en-GB"/>
              </w:rPr>
              <w:t>Upheld</w:t>
            </w:r>
          </w:p>
        </w:tc>
        <w:tc>
          <w:tcPr>
            <w:tcW w:w="1360" w:type="dxa"/>
            <w:tcBorders>
              <w:top w:val="nil"/>
              <w:left w:val="nil"/>
              <w:bottom w:val="single" w:sz="4" w:space="0" w:color="auto"/>
              <w:right w:val="single" w:sz="4" w:space="0" w:color="auto"/>
            </w:tcBorders>
            <w:shd w:val="clear" w:color="000000" w:fill="D8E4BC"/>
            <w:noWrap/>
            <w:vAlign w:val="center"/>
          </w:tcPr>
          <w:p w14:paraId="6D1A404C" w14:textId="77777777" w:rsidR="00D37799" w:rsidRPr="00D37799" w:rsidRDefault="00D37799" w:rsidP="00D37799">
            <w:pPr>
              <w:jc w:val="center"/>
              <w:rPr>
                <w:rFonts w:ascii="Calibri" w:eastAsia="Times New Roman" w:hAnsi="Calibri" w:cs="Calibri"/>
                <w:color w:val="000000"/>
                <w:lang w:val="en-GB" w:eastAsia="en-GB"/>
              </w:rPr>
            </w:pPr>
            <w:r w:rsidRPr="00D37799">
              <w:rPr>
                <w:rFonts w:ascii="Calibri" w:eastAsia="Times New Roman" w:hAnsi="Calibri" w:cs="Calibri"/>
                <w:color w:val="000000"/>
                <w:lang w:val="en-GB" w:eastAsia="en-GB"/>
              </w:rPr>
              <w:t>76</w:t>
            </w:r>
          </w:p>
        </w:tc>
        <w:tc>
          <w:tcPr>
            <w:tcW w:w="1360" w:type="dxa"/>
            <w:tcBorders>
              <w:top w:val="nil"/>
              <w:left w:val="nil"/>
              <w:bottom w:val="single" w:sz="4" w:space="0" w:color="auto"/>
              <w:right w:val="single" w:sz="4" w:space="0" w:color="auto"/>
            </w:tcBorders>
            <w:shd w:val="clear" w:color="000000" w:fill="D8E4BC"/>
            <w:noWrap/>
            <w:vAlign w:val="center"/>
          </w:tcPr>
          <w:p w14:paraId="232183BF" w14:textId="77777777" w:rsidR="00D37799" w:rsidRPr="00D37799" w:rsidRDefault="00D37799" w:rsidP="00D37799">
            <w:pPr>
              <w:jc w:val="center"/>
              <w:rPr>
                <w:rFonts w:ascii="Calibri" w:eastAsia="Times New Roman" w:hAnsi="Calibri" w:cs="Calibri"/>
                <w:color w:val="000000"/>
                <w:lang w:val="en-GB" w:eastAsia="en-GB"/>
              </w:rPr>
            </w:pPr>
            <w:r w:rsidRPr="00D37799">
              <w:rPr>
                <w:rFonts w:ascii="Calibri" w:eastAsia="Times New Roman" w:hAnsi="Calibri" w:cs="Calibri"/>
                <w:color w:val="000000"/>
                <w:lang w:val="en-GB" w:eastAsia="en-GB"/>
              </w:rPr>
              <w:t>82</w:t>
            </w:r>
          </w:p>
        </w:tc>
        <w:tc>
          <w:tcPr>
            <w:tcW w:w="1360" w:type="dxa"/>
            <w:tcBorders>
              <w:top w:val="nil"/>
              <w:left w:val="nil"/>
              <w:bottom w:val="single" w:sz="4" w:space="0" w:color="auto"/>
              <w:right w:val="single" w:sz="4" w:space="0" w:color="auto"/>
            </w:tcBorders>
            <w:shd w:val="clear" w:color="000000" w:fill="D8E4BC"/>
            <w:noWrap/>
            <w:vAlign w:val="center"/>
          </w:tcPr>
          <w:p w14:paraId="57C7EBA9" w14:textId="77777777" w:rsidR="00D37799" w:rsidRPr="00D37799" w:rsidRDefault="00D37799" w:rsidP="00D37799">
            <w:pPr>
              <w:jc w:val="center"/>
              <w:rPr>
                <w:rFonts w:ascii="Calibri" w:eastAsia="Times New Roman" w:hAnsi="Calibri" w:cs="Calibri"/>
                <w:color w:val="000000"/>
                <w:lang w:val="en-GB" w:eastAsia="en-GB"/>
              </w:rPr>
            </w:pPr>
            <w:r w:rsidRPr="00D37799">
              <w:rPr>
                <w:rFonts w:ascii="Calibri" w:eastAsia="Times New Roman" w:hAnsi="Calibri" w:cs="Calibri"/>
                <w:color w:val="000000"/>
                <w:lang w:val="en-GB" w:eastAsia="en-GB"/>
              </w:rPr>
              <w:t>106</w:t>
            </w:r>
          </w:p>
        </w:tc>
        <w:tc>
          <w:tcPr>
            <w:tcW w:w="2040" w:type="dxa"/>
            <w:tcBorders>
              <w:top w:val="nil"/>
              <w:left w:val="nil"/>
              <w:bottom w:val="single" w:sz="4" w:space="0" w:color="auto"/>
              <w:right w:val="single" w:sz="4" w:space="0" w:color="auto"/>
            </w:tcBorders>
            <w:shd w:val="clear" w:color="000000" w:fill="D8E4BC"/>
            <w:noWrap/>
            <w:vAlign w:val="center"/>
          </w:tcPr>
          <w:p w14:paraId="2BA891DB" w14:textId="77777777" w:rsidR="00D37799" w:rsidRPr="00D37799" w:rsidRDefault="00D37799" w:rsidP="00D37799">
            <w:pPr>
              <w:jc w:val="center"/>
              <w:rPr>
                <w:rFonts w:ascii="Calibri" w:eastAsia="Times New Roman" w:hAnsi="Calibri" w:cs="Calibri"/>
                <w:color w:val="000000"/>
                <w:lang w:val="en-GB" w:eastAsia="en-GB"/>
              </w:rPr>
            </w:pPr>
            <w:r w:rsidRPr="00D37799">
              <w:rPr>
                <w:rFonts w:ascii="Calibri" w:eastAsia="Times New Roman" w:hAnsi="Calibri" w:cs="Calibri"/>
                <w:color w:val="000000"/>
                <w:lang w:val="en-GB" w:eastAsia="en-GB"/>
              </w:rPr>
              <w:t>79</w:t>
            </w:r>
          </w:p>
        </w:tc>
        <w:tc>
          <w:tcPr>
            <w:tcW w:w="1360" w:type="dxa"/>
            <w:tcBorders>
              <w:top w:val="nil"/>
              <w:left w:val="nil"/>
              <w:bottom w:val="single" w:sz="4" w:space="0" w:color="auto"/>
              <w:right w:val="single" w:sz="4" w:space="0" w:color="auto"/>
            </w:tcBorders>
            <w:shd w:val="clear" w:color="000000" w:fill="FFFFFF"/>
            <w:noWrap/>
            <w:vAlign w:val="center"/>
          </w:tcPr>
          <w:p w14:paraId="7CF041C4" w14:textId="77777777" w:rsidR="00D37799" w:rsidRPr="00D37799" w:rsidRDefault="00D37799" w:rsidP="00D37799">
            <w:pPr>
              <w:jc w:val="center"/>
              <w:rPr>
                <w:rFonts w:ascii="Calibri" w:eastAsia="Times New Roman" w:hAnsi="Calibri" w:cs="Calibri"/>
                <w:color w:val="000000"/>
                <w:lang w:val="en-GB" w:eastAsia="en-GB"/>
              </w:rPr>
            </w:pPr>
            <w:r w:rsidRPr="00D37799">
              <w:rPr>
                <w:rFonts w:ascii="Calibri" w:eastAsia="Times New Roman" w:hAnsi="Calibri" w:cs="Calibri"/>
                <w:color w:val="000000"/>
                <w:lang w:val="en-GB" w:eastAsia="en-GB"/>
              </w:rPr>
              <w:t>343</w:t>
            </w:r>
          </w:p>
        </w:tc>
      </w:tr>
      <w:tr w:rsidR="00D37799" w:rsidRPr="00D37799" w14:paraId="23A755A1" w14:textId="77777777" w:rsidTr="001F4F5D">
        <w:trPr>
          <w:trHeight w:val="334"/>
        </w:trPr>
        <w:tc>
          <w:tcPr>
            <w:tcW w:w="2860" w:type="dxa"/>
            <w:tcBorders>
              <w:top w:val="nil"/>
              <w:left w:val="single" w:sz="4" w:space="0" w:color="auto"/>
              <w:bottom w:val="single" w:sz="4" w:space="0" w:color="auto"/>
              <w:right w:val="single" w:sz="4" w:space="0" w:color="auto"/>
            </w:tcBorders>
            <w:noWrap/>
            <w:vAlign w:val="bottom"/>
            <w:hideMark/>
          </w:tcPr>
          <w:p w14:paraId="3AD657FB" w14:textId="77777777" w:rsidR="00D37799" w:rsidRPr="00D37799" w:rsidRDefault="00D37799" w:rsidP="00D37799">
            <w:pPr>
              <w:rPr>
                <w:rFonts w:ascii="Calibri" w:eastAsia="Times New Roman" w:hAnsi="Calibri" w:cs="Calibri"/>
                <w:color w:val="000000"/>
                <w:lang w:val="en-GB" w:eastAsia="en-GB"/>
              </w:rPr>
            </w:pPr>
            <w:r w:rsidRPr="00D37799">
              <w:rPr>
                <w:rFonts w:ascii="Calibri" w:eastAsia="Times New Roman" w:hAnsi="Calibri" w:cs="Calibri"/>
                <w:color w:val="000000"/>
                <w:lang w:val="en-GB" w:eastAsia="en-GB"/>
              </w:rPr>
              <w:t>Partially</w:t>
            </w:r>
          </w:p>
        </w:tc>
        <w:tc>
          <w:tcPr>
            <w:tcW w:w="1360" w:type="dxa"/>
            <w:tcBorders>
              <w:top w:val="nil"/>
              <w:left w:val="nil"/>
              <w:bottom w:val="single" w:sz="4" w:space="0" w:color="auto"/>
              <w:right w:val="single" w:sz="4" w:space="0" w:color="auto"/>
            </w:tcBorders>
            <w:shd w:val="clear" w:color="000000" w:fill="D8E4BC"/>
            <w:noWrap/>
            <w:vAlign w:val="center"/>
          </w:tcPr>
          <w:p w14:paraId="4BFA085B" w14:textId="77777777" w:rsidR="00D37799" w:rsidRPr="00D37799" w:rsidRDefault="00D37799" w:rsidP="00D37799">
            <w:pPr>
              <w:jc w:val="center"/>
              <w:rPr>
                <w:rFonts w:ascii="Calibri" w:eastAsia="Times New Roman" w:hAnsi="Calibri" w:cs="Calibri"/>
                <w:color w:val="000000"/>
                <w:lang w:val="en-GB" w:eastAsia="en-GB"/>
              </w:rPr>
            </w:pPr>
            <w:r w:rsidRPr="00D37799">
              <w:rPr>
                <w:rFonts w:ascii="Calibri" w:eastAsia="Times New Roman" w:hAnsi="Calibri" w:cs="Calibri"/>
                <w:color w:val="000000"/>
                <w:lang w:val="en-GB" w:eastAsia="en-GB"/>
              </w:rPr>
              <w:t>49</w:t>
            </w:r>
          </w:p>
        </w:tc>
        <w:tc>
          <w:tcPr>
            <w:tcW w:w="1360" w:type="dxa"/>
            <w:tcBorders>
              <w:top w:val="nil"/>
              <w:left w:val="nil"/>
              <w:bottom w:val="single" w:sz="4" w:space="0" w:color="auto"/>
              <w:right w:val="single" w:sz="4" w:space="0" w:color="auto"/>
            </w:tcBorders>
            <w:shd w:val="clear" w:color="000000" w:fill="D8E4BC"/>
            <w:noWrap/>
            <w:vAlign w:val="center"/>
          </w:tcPr>
          <w:p w14:paraId="521F7289" w14:textId="77777777" w:rsidR="00D37799" w:rsidRPr="00D37799" w:rsidRDefault="00D37799" w:rsidP="00D37799">
            <w:pPr>
              <w:jc w:val="center"/>
              <w:rPr>
                <w:rFonts w:ascii="Calibri" w:eastAsia="Times New Roman" w:hAnsi="Calibri" w:cs="Calibri"/>
                <w:color w:val="000000"/>
                <w:lang w:val="en-GB" w:eastAsia="en-GB"/>
              </w:rPr>
            </w:pPr>
            <w:r w:rsidRPr="00D37799">
              <w:rPr>
                <w:rFonts w:ascii="Calibri" w:eastAsia="Times New Roman" w:hAnsi="Calibri" w:cs="Calibri"/>
                <w:color w:val="000000"/>
                <w:lang w:val="en-GB" w:eastAsia="en-GB"/>
              </w:rPr>
              <w:t>80</w:t>
            </w:r>
          </w:p>
        </w:tc>
        <w:tc>
          <w:tcPr>
            <w:tcW w:w="1360" w:type="dxa"/>
            <w:tcBorders>
              <w:top w:val="nil"/>
              <w:left w:val="nil"/>
              <w:bottom w:val="single" w:sz="4" w:space="0" w:color="auto"/>
              <w:right w:val="single" w:sz="4" w:space="0" w:color="auto"/>
            </w:tcBorders>
            <w:shd w:val="clear" w:color="000000" w:fill="D8E4BC"/>
            <w:noWrap/>
            <w:vAlign w:val="center"/>
          </w:tcPr>
          <w:p w14:paraId="1B79C5B1" w14:textId="77777777" w:rsidR="00D37799" w:rsidRPr="00D37799" w:rsidRDefault="00D37799" w:rsidP="00D37799">
            <w:pPr>
              <w:jc w:val="center"/>
              <w:rPr>
                <w:rFonts w:ascii="Calibri" w:eastAsia="Times New Roman" w:hAnsi="Calibri" w:cs="Calibri"/>
                <w:color w:val="000000"/>
                <w:lang w:val="en-GB" w:eastAsia="en-GB"/>
              </w:rPr>
            </w:pPr>
            <w:r w:rsidRPr="00D37799">
              <w:rPr>
                <w:rFonts w:ascii="Calibri" w:eastAsia="Times New Roman" w:hAnsi="Calibri" w:cs="Calibri"/>
                <w:color w:val="000000"/>
                <w:lang w:val="en-GB" w:eastAsia="en-GB"/>
              </w:rPr>
              <w:t>78</w:t>
            </w:r>
          </w:p>
        </w:tc>
        <w:tc>
          <w:tcPr>
            <w:tcW w:w="2040" w:type="dxa"/>
            <w:tcBorders>
              <w:top w:val="nil"/>
              <w:left w:val="nil"/>
              <w:bottom w:val="single" w:sz="4" w:space="0" w:color="auto"/>
              <w:right w:val="single" w:sz="4" w:space="0" w:color="auto"/>
            </w:tcBorders>
            <w:shd w:val="clear" w:color="000000" w:fill="D8E4BC"/>
            <w:noWrap/>
            <w:vAlign w:val="center"/>
          </w:tcPr>
          <w:p w14:paraId="29A1DB90" w14:textId="77777777" w:rsidR="00D37799" w:rsidRPr="00D37799" w:rsidRDefault="00D37799" w:rsidP="00D37799">
            <w:pPr>
              <w:jc w:val="center"/>
              <w:rPr>
                <w:rFonts w:ascii="Calibri" w:eastAsia="Times New Roman" w:hAnsi="Calibri" w:cs="Calibri"/>
                <w:color w:val="000000"/>
                <w:lang w:val="en-GB" w:eastAsia="en-GB"/>
              </w:rPr>
            </w:pPr>
            <w:r w:rsidRPr="00D37799">
              <w:rPr>
                <w:rFonts w:ascii="Calibri" w:eastAsia="Times New Roman" w:hAnsi="Calibri" w:cs="Calibri"/>
                <w:color w:val="000000"/>
                <w:lang w:val="en-GB" w:eastAsia="en-GB"/>
              </w:rPr>
              <w:t>85</w:t>
            </w:r>
          </w:p>
        </w:tc>
        <w:tc>
          <w:tcPr>
            <w:tcW w:w="1360" w:type="dxa"/>
            <w:tcBorders>
              <w:top w:val="nil"/>
              <w:left w:val="nil"/>
              <w:bottom w:val="single" w:sz="4" w:space="0" w:color="auto"/>
              <w:right w:val="single" w:sz="4" w:space="0" w:color="auto"/>
            </w:tcBorders>
            <w:shd w:val="clear" w:color="000000" w:fill="FFFFFF"/>
            <w:noWrap/>
            <w:vAlign w:val="center"/>
          </w:tcPr>
          <w:p w14:paraId="4170E8FF" w14:textId="77777777" w:rsidR="00D37799" w:rsidRPr="00D37799" w:rsidRDefault="00D37799" w:rsidP="00D37799">
            <w:pPr>
              <w:jc w:val="center"/>
              <w:rPr>
                <w:rFonts w:ascii="Calibri" w:eastAsia="Times New Roman" w:hAnsi="Calibri" w:cs="Calibri"/>
                <w:color w:val="000000"/>
                <w:lang w:val="en-GB" w:eastAsia="en-GB"/>
              </w:rPr>
            </w:pPr>
            <w:r w:rsidRPr="00D37799">
              <w:rPr>
                <w:rFonts w:ascii="Calibri" w:eastAsia="Times New Roman" w:hAnsi="Calibri" w:cs="Calibri"/>
                <w:color w:val="000000"/>
                <w:lang w:val="en-GB" w:eastAsia="en-GB"/>
              </w:rPr>
              <w:t>292</w:t>
            </w:r>
          </w:p>
        </w:tc>
      </w:tr>
      <w:tr w:rsidR="00D37799" w:rsidRPr="00D37799" w14:paraId="7BEAD439" w14:textId="77777777" w:rsidTr="001F4F5D">
        <w:trPr>
          <w:trHeight w:val="334"/>
        </w:trPr>
        <w:tc>
          <w:tcPr>
            <w:tcW w:w="2860" w:type="dxa"/>
            <w:tcBorders>
              <w:top w:val="nil"/>
              <w:left w:val="single" w:sz="4" w:space="0" w:color="auto"/>
              <w:bottom w:val="single" w:sz="4" w:space="0" w:color="auto"/>
              <w:right w:val="single" w:sz="4" w:space="0" w:color="auto"/>
            </w:tcBorders>
            <w:noWrap/>
            <w:vAlign w:val="bottom"/>
            <w:hideMark/>
          </w:tcPr>
          <w:p w14:paraId="658CD6E8" w14:textId="77777777" w:rsidR="00D37799" w:rsidRPr="00D37799" w:rsidRDefault="00D37799" w:rsidP="00D37799">
            <w:pPr>
              <w:rPr>
                <w:rFonts w:ascii="Calibri" w:eastAsia="Times New Roman" w:hAnsi="Calibri" w:cs="Calibri"/>
                <w:color w:val="000000"/>
                <w:lang w:val="en-GB" w:eastAsia="en-GB"/>
              </w:rPr>
            </w:pPr>
            <w:r w:rsidRPr="00D37799">
              <w:rPr>
                <w:rFonts w:ascii="Calibri" w:eastAsia="Times New Roman" w:hAnsi="Calibri" w:cs="Calibri"/>
                <w:color w:val="000000"/>
                <w:lang w:val="en-GB" w:eastAsia="en-GB"/>
              </w:rPr>
              <w:t>Not Upheld</w:t>
            </w:r>
          </w:p>
        </w:tc>
        <w:tc>
          <w:tcPr>
            <w:tcW w:w="1360" w:type="dxa"/>
            <w:tcBorders>
              <w:top w:val="nil"/>
              <w:left w:val="nil"/>
              <w:bottom w:val="single" w:sz="4" w:space="0" w:color="auto"/>
              <w:right w:val="single" w:sz="4" w:space="0" w:color="auto"/>
            </w:tcBorders>
            <w:shd w:val="clear" w:color="000000" w:fill="D8E4BC"/>
            <w:noWrap/>
            <w:vAlign w:val="center"/>
          </w:tcPr>
          <w:p w14:paraId="671D5ED1" w14:textId="77777777" w:rsidR="00D37799" w:rsidRPr="00D37799" w:rsidRDefault="00D37799" w:rsidP="00D37799">
            <w:pPr>
              <w:jc w:val="center"/>
              <w:rPr>
                <w:rFonts w:ascii="Calibri" w:eastAsia="Times New Roman" w:hAnsi="Calibri" w:cs="Calibri"/>
                <w:color w:val="000000"/>
                <w:lang w:val="en-GB" w:eastAsia="en-GB"/>
              </w:rPr>
            </w:pPr>
            <w:r w:rsidRPr="00D37799">
              <w:rPr>
                <w:rFonts w:ascii="Calibri" w:eastAsia="Times New Roman" w:hAnsi="Calibri" w:cs="Calibri"/>
                <w:color w:val="000000"/>
                <w:lang w:val="en-GB" w:eastAsia="en-GB"/>
              </w:rPr>
              <w:t>80</w:t>
            </w:r>
          </w:p>
        </w:tc>
        <w:tc>
          <w:tcPr>
            <w:tcW w:w="1360" w:type="dxa"/>
            <w:tcBorders>
              <w:top w:val="nil"/>
              <w:left w:val="nil"/>
              <w:bottom w:val="single" w:sz="4" w:space="0" w:color="auto"/>
              <w:right w:val="single" w:sz="4" w:space="0" w:color="auto"/>
            </w:tcBorders>
            <w:shd w:val="clear" w:color="000000" w:fill="D8E4BC"/>
            <w:noWrap/>
            <w:vAlign w:val="center"/>
          </w:tcPr>
          <w:p w14:paraId="6CCB5E47" w14:textId="77777777" w:rsidR="00D37799" w:rsidRPr="00D37799" w:rsidRDefault="00D37799" w:rsidP="00D37799">
            <w:pPr>
              <w:jc w:val="center"/>
              <w:rPr>
                <w:rFonts w:ascii="Calibri" w:eastAsia="Times New Roman" w:hAnsi="Calibri" w:cs="Calibri"/>
                <w:color w:val="000000"/>
                <w:lang w:val="en-GB" w:eastAsia="en-GB"/>
              </w:rPr>
            </w:pPr>
            <w:r w:rsidRPr="00D37799">
              <w:rPr>
                <w:rFonts w:ascii="Calibri" w:eastAsia="Times New Roman" w:hAnsi="Calibri" w:cs="Calibri"/>
                <w:color w:val="000000"/>
                <w:lang w:val="en-GB" w:eastAsia="en-GB"/>
              </w:rPr>
              <w:t>98</w:t>
            </w:r>
          </w:p>
        </w:tc>
        <w:tc>
          <w:tcPr>
            <w:tcW w:w="1360" w:type="dxa"/>
            <w:tcBorders>
              <w:top w:val="nil"/>
              <w:left w:val="nil"/>
              <w:bottom w:val="single" w:sz="4" w:space="0" w:color="auto"/>
              <w:right w:val="single" w:sz="4" w:space="0" w:color="auto"/>
            </w:tcBorders>
            <w:shd w:val="clear" w:color="000000" w:fill="D8E4BC"/>
            <w:noWrap/>
            <w:vAlign w:val="center"/>
          </w:tcPr>
          <w:p w14:paraId="50ECA847" w14:textId="77777777" w:rsidR="00D37799" w:rsidRPr="00D37799" w:rsidRDefault="00D37799" w:rsidP="00D37799">
            <w:pPr>
              <w:jc w:val="center"/>
              <w:rPr>
                <w:rFonts w:ascii="Calibri" w:eastAsia="Times New Roman" w:hAnsi="Calibri" w:cs="Calibri"/>
                <w:color w:val="000000"/>
                <w:lang w:val="en-GB" w:eastAsia="en-GB"/>
              </w:rPr>
            </w:pPr>
            <w:r w:rsidRPr="00D37799">
              <w:rPr>
                <w:rFonts w:ascii="Calibri" w:eastAsia="Times New Roman" w:hAnsi="Calibri" w:cs="Calibri"/>
                <w:color w:val="000000"/>
                <w:lang w:val="en-GB" w:eastAsia="en-GB"/>
              </w:rPr>
              <w:t>91</w:t>
            </w:r>
          </w:p>
        </w:tc>
        <w:tc>
          <w:tcPr>
            <w:tcW w:w="2040" w:type="dxa"/>
            <w:tcBorders>
              <w:top w:val="nil"/>
              <w:left w:val="nil"/>
              <w:bottom w:val="single" w:sz="4" w:space="0" w:color="auto"/>
              <w:right w:val="single" w:sz="4" w:space="0" w:color="auto"/>
            </w:tcBorders>
            <w:shd w:val="clear" w:color="000000" w:fill="D8E4BC"/>
            <w:noWrap/>
            <w:vAlign w:val="center"/>
          </w:tcPr>
          <w:p w14:paraId="22008795" w14:textId="77777777" w:rsidR="00D37799" w:rsidRPr="00D37799" w:rsidRDefault="00D37799" w:rsidP="00D37799">
            <w:pPr>
              <w:jc w:val="center"/>
              <w:rPr>
                <w:rFonts w:ascii="Calibri" w:eastAsia="Times New Roman" w:hAnsi="Calibri" w:cs="Calibri"/>
                <w:color w:val="000000"/>
                <w:lang w:val="en-GB" w:eastAsia="en-GB"/>
              </w:rPr>
            </w:pPr>
            <w:r w:rsidRPr="00D37799">
              <w:rPr>
                <w:rFonts w:ascii="Calibri" w:eastAsia="Times New Roman" w:hAnsi="Calibri" w:cs="Calibri"/>
                <w:color w:val="000000"/>
                <w:lang w:val="en-GB" w:eastAsia="en-GB"/>
              </w:rPr>
              <w:t>71</w:t>
            </w:r>
          </w:p>
        </w:tc>
        <w:tc>
          <w:tcPr>
            <w:tcW w:w="1360" w:type="dxa"/>
            <w:tcBorders>
              <w:top w:val="nil"/>
              <w:left w:val="nil"/>
              <w:bottom w:val="single" w:sz="4" w:space="0" w:color="auto"/>
              <w:right w:val="single" w:sz="4" w:space="0" w:color="auto"/>
            </w:tcBorders>
            <w:shd w:val="clear" w:color="000000" w:fill="FFFFFF"/>
            <w:noWrap/>
            <w:vAlign w:val="center"/>
          </w:tcPr>
          <w:p w14:paraId="095E262A" w14:textId="77777777" w:rsidR="00D37799" w:rsidRPr="00D37799" w:rsidRDefault="00D37799" w:rsidP="00D37799">
            <w:pPr>
              <w:jc w:val="center"/>
              <w:rPr>
                <w:rFonts w:ascii="Calibri" w:eastAsia="Times New Roman" w:hAnsi="Calibri" w:cs="Calibri"/>
                <w:color w:val="000000"/>
                <w:lang w:val="en-GB" w:eastAsia="en-GB"/>
              </w:rPr>
            </w:pPr>
            <w:r w:rsidRPr="00D37799">
              <w:rPr>
                <w:rFonts w:ascii="Calibri" w:eastAsia="Times New Roman" w:hAnsi="Calibri" w:cs="Calibri"/>
                <w:color w:val="000000"/>
                <w:lang w:val="en-GB" w:eastAsia="en-GB"/>
              </w:rPr>
              <w:t>340</w:t>
            </w:r>
          </w:p>
        </w:tc>
      </w:tr>
      <w:tr w:rsidR="00D37799" w:rsidRPr="00D37799" w14:paraId="4F6DB0B6" w14:textId="77777777" w:rsidTr="001F4F5D">
        <w:trPr>
          <w:trHeight w:val="334"/>
        </w:trPr>
        <w:tc>
          <w:tcPr>
            <w:tcW w:w="2860" w:type="dxa"/>
            <w:tcBorders>
              <w:top w:val="nil"/>
              <w:left w:val="single" w:sz="4" w:space="0" w:color="auto"/>
              <w:bottom w:val="single" w:sz="4" w:space="0" w:color="auto"/>
              <w:right w:val="single" w:sz="4" w:space="0" w:color="auto"/>
            </w:tcBorders>
            <w:noWrap/>
            <w:vAlign w:val="bottom"/>
            <w:hideMark/>
          </w:tcPr>
          <w:p w14:paraId="7ADC8D08" w14:textId="77777777" w:rsidR="00D37799" w:rsidRPr="00D37799" w:rsidRDefault="00D37799" w:rsidP="00D37799">
            <w:pPr>
              <w:rPr>
                <w:rFonts w:ascii="Calibri" w:eastAsia="Times New Roman" w:hAnsi="Calibri" w:cs="Calibri"/>
                <w:b/>
                <w:bCs/>
                <w:color w:val="000000"/>
                <w:lang w:val="en-GB" w:eastAsia="en-GB"/>
              </w:rPr>
            </w:pPr>
            <w:r w:rsidRPr="00D37799">
              <w:rPr>
                <w:rFonts w:ascii="Calibri" w:eastAsia="Times New Roman" w:hAnsi="Calibri" w:cs="Calibri"/>
                <w:b/>
                <w:bCs/>
                <w:color w:val="000000"/>
                <w:lang w:val="en-GB" w:eastAsia="en-GB"/>
              </w:rPr>
              <w:t>Total</w:t>
            </w:r>
          </w:p>
        </w:tc>
        <w:tc>
          <w:tcPr>
            <w:tcW w:w="1360" w:type="dxa"/>
            <w:tcBorders>
              <w:top w:val="nil"/>
              <w:left w:val="nil"/>
              <w:bottom w:val="single" w:sz="4" w:space="0" w:color="auto"/>
              <w:right w:val="single" w:sz="4" w:space="0" w:color="auto"/>
            </w:tcBorders>
            <w:noWrap/>
            <w:vAlign w:val="center"/>
          </w:tcPr>
          <w:p w14:paraId="7A1B758C" w14:textId="77777777" w:rsidR="00D37799" w:rsidRPr="00D37799" w:rsidRDefault="00D37799" w:rsidP="00D37799">
            <w:pPr>
              <w:jc w:val="center"/>
              <w:rPr>
                <w:rFonts w:ascii="Calibri" w:eastAsia="Times New Roman" w:hAnsi="Calibri" w:cs="Calibri"/>
                <w:color w:val="000000"/>
                <w:lang w:val="en-GB" w:eastAsia="en-GB"/>
              </w:rPr>
            </w:pPr>
            <w:r w:rsidRPr="00D37799">
              <w:rPr>
                <w:rFonts w:ascii="Calibri" w:eastAsia="Times New Roman" w:hAnsi="Calibri" w:cs="Calibri"/>
                <w:color w:val="000000"/>
                <w:lang w:val="en-GB" w:eastAsia="en-GB"/>
              </w:rPr>
              <w:t>205</w:t>
            </w:r>
          </w:p>
        </w:tc>
        <w:tc>
          <w:tcPr>
            <w:tcW w:w="1360" w:type="dxa"/>
            <w:tcBorders>
              <w:top w:val="nil"/>
              <w:left w:val="nil"/>
              <w:bottom w:val="single" w:sz="4" w:space="0" w:color="auto"/>
              <w:right w:val="single" w:sz="4" w:space="0" w:color="auto"/>
            </w:tcBorders>
            <w:noWrap/>
            <w:vAlign w:val="center"/>
          </w:tcPr>
          <w:p w14:paraId="0A796FA1" w14:textId="77777777" w:rsidR="00D37799" w:rsidRPr="00D37799" w:rsidRDefault="00D37799" w:rsidP="00D37799">
            <w:pPr>
              <w:jc w:val="center"/>
              <w:rPr>
                <w:rFonts w:ascii="Calibri" w:eastAsia="Times New Roman" w:hAnsi="Calibri" w:cs="Calibri"/>
                <w:color w:val="000000"/>
                <w:lang w:val="en-GB" w:eastAsia="en-GB"/>
              </w:rPr>
            </w:pPr>
            <w:r w:rsidRPr="00D37799">
              <w:rPr>
                <w:rFonts w:ascii="Calibri" w:eastAsia="Times New Roman" w:hAnsi="Calibri" w:cs="Calibri"/>
                <w:color w:val="000000"/>
                <w:lang w:val="en-GB" w:eastAsia="en-GB"/>
              </w:rPr>
              <w:t>260</w:t>
            </w:r>
          </w:p>
        </w:tc>
        <w:tc>
          <w:tcPr>
            <w:tcW w:w="1360" w:type="dxa"/>
            <w:tcBorders>
              <w:top w:val="nil"/>
              <w:left w:val="nil"/>
              <w:bottom w:val="single" w:sz="4" w:space="0" w:color="auto"/>
              <w:right w:val="single" w:sz="4" w:space="0" w:color="auto"/>
            </w:tcBorders>
            <w:noWrap/>
            <w:vAlign w:val="center"/>
          </w:tcPr>
          <w:p w14:paraId="6FBC1906" w14:textId="77777777" w:rsidR="00D37799" w:rsidRPr="00D37799" w:rsidRDefault="00D37799" w:rsidP="00D37799">
            <w:pPr>
              <w:jc w:val="center"/>
              <w:rPr>
                <w:rFonts w:ascii="Calibri" w:eastAsia="Times New Roman" w:hAnsi="Calibri" w:cs="Calibri"/>
                <w:color w:val="000000"/>
                <w:lang w:val="en-GB" w:eastAsia="en-GB"/>
              </w:rPr>
            </w:pPr>
            <w:r w:rsidRPr="00D37799">
              <w:rPr>
                <w:rFonts w:ascii="Calibri" w:eastAsia="Times New Roman" w:hAnsi="Calibri" w:cs="Calibri"/>
                <w:color w:val="000000"/>
                <w:lang w:val="en-GB" w:eastAsia="en-GB"/>
              </w:rPr>
              <w:t>275</w:t>
            </w:r>
          </w:p>
        </w:tc>
        <w:tc>
          <w:tcPr>
            <w:tcW w:w="2040" w:type="dxa"/>
            <w:tcBorders>
              <w:top w:val="nil"/>
              <w:left w:val="nil"/>
              <w:bottom w:val="single" w:sz="4" w:space="0" w:color="auto"/>
              <w:right w:val="single" w:sz="4" w:space="0" w:color="auto"/>
            </w:tcBorders>
            <w:noWrap/>
            <w:vAlign w:val="center"/>
          </w:tcPr>
          <w:p w14:paraId="1E18FB76" w14:textId="77777777" w:rsidR="00D37799" w:rsidRPr="00D37799" w:rsidRDefault="00D37799" w:rsidP="00D37799">
            <w:pPr>
              <w:jc w:val="center"/>
              <w:rPr>
                <w:rFonts w:ascii="Calibri" w:eastAsia="Times New Roman" w:hAnsi="Calibri" w:cs="Calibri"/>
                <w:color w:val="000000"/>
                <w:lang w:val="en-GB" w:eastAsia="en-GB"/>
              </w:rPr>
            </w:pPr>
            <w:r w:rsidRPr="00D37799">
              <w:rPr>
                <w:rFonts w:ascii="Calibri" w:eastAsia="Times New Roman" w:hAnsi="Calibri" w:cs="Calibri"/>
                <w:color w:val="000000"/>
                <w:lang w:val="en-GB" w:eastAsia="en-GB"/>
              </w:rPr>
              <w:t>235</w:t>
            </w:r>
          </w:p>
        </w:tc>
        <w:tc>
          <w:tcPr>
            <w:tcW w:w="1360" w:type="dxa"/>
            <w:tcBorders>
              <w:top w:val="nil"/>
              <w:left w:val="nil"/>
              <w:bottom w:val="single" w:sz="4" w:space="0" w:color="auto"/>
              <w:right w:val="single" w:sz="4" w:space="0" w:color="auto"/>
            </w:tcBorders>
            <w:noWrap/>
            <w:vAlign w:val="center"/>
          </w:tcPr>
          <w:p w14:paraId="3F739025" w14:textId="77777777" w:rsidR="00D37799" w:rsidRPr="00D37799" w:rsidRDefault="00D37799" w:rsidP="00D37799">
            <w:pPr>
              <w:jc w:val="center"/>
              <w:rPr>
                <w:rFonts w:ascii="Calibri" w:eastAsia="Times New Roman" w:hAnsi="Calibri" w:cs="Calibri"/>
                <w:color w:val="000000"/>
                <w:lang w:val="en-GB" w:eastAsia="en-GB"/>
              </w:rPr>
            </w:pPr>
            <w:r w:rsidRPr="00D37799">
              <w:rPr>
                <w:rFonts w:ascii="Calibri" w:eastAsia="Times New Roman" w:hAnsi="Calibri" w:cs="Calibri"/>
                <w:color w:val="000000"/>
                <w:lang w:val="en-GB" w:eastAsia="en-GB"/>
              </w:rPr>
              <w:t>975</w:t>
            </w:r>
          </w:p>
        </w:tc>
      </w:tr>
    </w:tbl>
    <w:p w14:paraId="1F9B0549" w14:textId="77777777" w:rsidR="00C03295" w:rsidRDefault="00C03295" w:rsidP="00ED5D07">
      <w:pPr>
        <w:jc w:val="both"/>
        <w:rPr>
          <w:rFonts w:ascii="Arial" w:eastAsia="Times New Roman" w:hAnsi="Arial" w:cs="Arial"/>
          <w:sz w:val="22"/>
          <w:szCs w:val="22"/>
          <w:lang w:val="en-GB"/>
        </w:rPr>
      </w:pPr>
    </w:p>
    <w:p w14:paraId="057ACCC0" w14:textId="55BB091F" w:rsidR="00ED5D07" w:rsidRPr="00FE6128" w:rsidRDefault="00ED5D07" w:rsidP="000769B8">
      <w:pPr>
        <w:spacing w:before="120" w:after="120"/>
        <w:jc w:val="right"/>
        <w:rPr>
          <w:rFonts w:ascii="Arial" w:hAnsi="Arial" w:cs="Arial"/>
          <w:b/>
          <w:u w:val="single"/>
          <w:lang w:val="en-GB"/>
        </w:rPr>
      </w:pPr>
      <w:r w:rsidRPr="00FE6128">
        <w:rPr>
          <w:rFonts w:ascii="Arial" w:hAnsi="Arial" w:cs="Arial"/>
          <w:b/>
          <w:u w:val="single"/>
          <w:lang w:val="en-GB"/>
        </w:rPr>
        <w:t xml:space="preserve">Table </w:t>
      </w:r>
      <w:r w:rsidR="00FE6128" w:rsidRPr="00FE6128">
        <w:rPr>
          <w:rFonts w:ascii="Arial" w:hAnsi="Arial" w:cs="Arial"/>
          <w:b/>
          <w:u w:val="single"/>
          <w:lang w:val="en-GB"/>
        </w:rPr>
        <w:t>3</w:t>
      </w:r>
    </w:p>
    <w:p w14:paraId="530D9AEB" w14:textId="1541E51D" w:rsidR="009F7A46" w:rsidRPr="00452CE4" w:rsidRDefault="00F94D1F" w:rsidP="0019112D">
      <w:pPr>
        <w:pStyle w:val="NormalWeb"/>
        <w:jc w:val="both"/>
        <w:rPr>
          <w:rFonts w:ascii="Arial" w:hAnsi="Arial" w:cs="Arial"/>
          <w:sz w:val="22"/>
          <w:szCs w:val="22"/>
          <w:lang w:val="en-GB"/>
        </w:rPr>
      </w:pPr>
      <w:r w:rsidRPr="00452CE4">
        <w:rPr>
          <w:rFonts w:ascii="Arial" w:hAnsi="Arial" w:cs="Arial"/>
          <w:sz w:val="22"/>
          <w:szCs w:val="22"/>
          <w:lang w:val="en-GB"/>
        </w:rPr>
        <w:t xml:space="preserve">The outcome is determined by the </w:t>
      </w:r>
      <w:r w:rsidR="001704C6" w:rsidRPr="00452CE4">
        <w:rPr>
          <w:rFonts w:ascii="Arial" w:eastAsia="Times New Roman" w:hAnsi="Arial" w:cs="Arial"/>
          <w:sz w:val="22"/>
          <w:szCs w:val="22"/>
          <w:lang w:val="en-GB"/>
        </w:rPr>
        <w:t>division indicating</w:t>
      </w:r>
      <w:r w:rsidRPr="00452CE4">
        <w:rPr>
          <w:rFonts w:ascii="Arial" w:eastAsia="Times New Roman" w:hAnsi="Arial" w:cs="Arial"/>
          <w:sz w:val="22"/>
          <w:szCs w:val="22"/>
          <w:lang w:val="en-GB"/>
        </w:rPr>
        <w:t xml:space="preserve"> if the complaint is considered to be</w:t>
      </w:r>
      <w:r w:rsidR="009F7A46" w:rsidRPr="00452CE4">
        <w:rPr>
          <w:rFonts w:ascii="Arial" w:eastAsia="Times New Roman" w:hAnsi="Arial" w:cs="Arial"/>
          <w:sz w:val="22"/>
          <w:szCs w:val="22"/>
          <w:lang w:val="en-GB"/>
        </w:rPr>
        <w:t>:</w:t>
      </w:r>
    </w:p>
    <w:p w14:paraId="4BFD19EA" w14:textId="77777777" w:rsidR="009F7A46" w:rsidRPr="00452CE4" w:rsidRDefault="009F7A46" w:rsidP="0019112D">
      <w:pPr>
        <w:pStyle w:val="NormalWeb"/>
        <w:jc w:val="both"/>
        <w:rPr>
          <w:rFonts w:ascii="Arial" w:hAnsi="Arial" w:cs="Arial"/>
          <w:sz w:val="22"/>
          <w:szCs w:val="22"/>
          <w:lang w:val="en-GB"/>
        </w:rPr>
      </w:pPr>
      <w:r w:rsidRPr="00452CE4">
        <w:rPr>
          <w:rFonts w:ascii="Arial" w:hAnsi="Arial" w:cs="Arial"/>
          <w:b/>
          <w:bCs/>
          <w:color w:val="005BB7"/>
          <w:sz w:val="22"/>
          <w:szCs w:val="22"/>
          <w:lang w:val="en-GB"/>
        </w:rPr>
        <w:t xml:space="preserve">Upheld: </w:t>
      </w:r>
      <w:r w:rsidRPr="00452CE4">
        <w:rPr>
          <w:rFonts w:ascii="Arial" w:hAnsi="Arial" w:cs="Arial"/>
          <w:color w:val="211E1E"/>
          <w:sz w:val="22"/>
          <w:szCs w:val="22"/>
          <w:lang w:val="en-GB"/>
        </w:rPr>
        <w:t xml:space="preserve">If a complaint is received which relates to one specific issue, and substantive evidence is found to support the complaint, then the complaint should be recorded as upheld. </w:t>
      </w:r>
    </w:p>
    <w:p w14:paraId="47D7F91A" w14:textId="77777777" w:rsidR="009F7A46" w:rsidRPr="00452CE4" w:rsidRDefault="009F7A46" w:rsidP="0019112D">
      <w:pPr>
        <w:pStyle w:val="NormalWeb"/>
        <w:jc w:val="both"/>
        <w:rPr>
          <w:rFonts w:ascii="Arial" w:hAnsi="Arial" w:cs="Arial"/>
          <w:sz w:val="22"/>
          <w:szCs w:val="22"/>
          <w:lang w:val="en-GB"/>
        </w:rPr>
      </w:pPr>
      <w:r w:rsidRPr="00452CE4">
        <w:rPr>
          <w:rFonts w:ascii="Arial" w:hAnsi="Arial" w:cs="Arial"/>
          <w:b/>
          <w:bCs/>
          <w:color w:val="005BB7"/>
          <w:sz w:val="22"/>
          <w:szCs w:val="22"/>
          <w:lang w:val="en-GB"/>
        </w:rPr>
        <w:lastRenderedPageBreak/>
        <w:t xml:space="preserve">Not upheld: </w:t>
      </w:r>
      <w:r w:rsidRPr="00452CE4">
        <w:rPr>
          <w:rFonts w:ascii="Arial" w:hAnsi="Arial" w:cs="Arial"/>
          <w:color w:val="211E1E"/>
          <w:sz w:val="22"/>
          <w:szCs w:val="22"/>
          <w:lang w:val="en-GB"/>
        </w:rPr>
        <w:t xml:space="preserve">Where there is no evidence to support any aspects of a complaint made, the complaint should be recorded as not upheld. </w:t>
      </w:r>
    </w:p>
    <w:p w14:paraId="437C4525" w14:textId="77777777" w:rsidR="009F7A46" w:rsidRPr="00452CE4" w:rsidRDefault="009F7A46" w:rsidP="0019112D">
      <w:pPr>
        <w:pStyle w:val="NormalWeb"/>
        <w:jc w:val="both"/>
        <w:rPr>
          <w:rFonts w:ascii="Arial" w:hAnsi="Arial" w:cs="Arial"/>
          <w:sz w:val="22"/>
          <w:szCs w:val="22"/>
          <w:lang w:val="en-GB"/>
        </w:rPr>
      </w:pPr>
      <w:r w:rsidRPr="00452CE4">
        <w:rPr>
          <w:rFonts w:ascii="Arial" w:hAnsi="Arial" w:cs="Arial"/>
          <w:b/>
          <w:bCs/>
          <w:color w:val="005BB7"/>
          <w:sz w:val="22"/>
          <w:szCs w:val="22"/>
          <w:lang w:val="en-GB"/>
        </w:rPr>
        <w:t xml:space="preserve">Partially upheld: </w:t>
      </w:r>
      <w:r w:rsidRPr="00452CE4">
        <w:rPr>
          <w:rFonts w:ascii="Arial" w:hAnsi="Arial" w:cs="Arial"/>
          <w:color w:val="211E1E"/>
          <w:sz w:val="22"/>
          <w:szCs w:val="22"/>
          <w:lang w:val="en-GB"/>
        </w:rPr>
        <w:t xml:space="preserve">Where a complaint is made about several issues, if one or more of these, (but not all), are upheld then the complaint should be recorded as partially upheld. </w:t>
      </w:r>
    </w:p>
    <w:p w14:paraId="6E847773" w14:textId="392F922C" w:rsidR="006F7659" w:rsidRDefault="009D4008" w:rsidP="00F82345">
      <w:pPr>
        <w:jc w:val="both"/>
        <w:rPr>
          <w:rFonts w:ascii="Arial" w:hAnsi="Arial" w:cs="Arial"/>
          <w:b/>
          <w:bCs/>
          <w:sz w:val="22"/>
          <w:szCs w:val="22"/>
          <w:u w:val="single"/>
          <w:lang w:val="en-GB"/>
        </w:rPr>
      </w:pPr>
      <w:r>
        <w:rPr>
          <w:rFonts w:ascii="Arial" w:eastAsia="Times New Roman" w:hAnsi="Arial" w:cs="Arial"/>
          <w:sz w:val="22"/>
          <w:szCs w:val="22"/>
          <w:lang w:val="en-GB"/>
        </w:rPr>
        <w:t xml:space="preserve">31% </w:t>
      </w:r>
      <w:r w:rsidR="00A453D1">
        <w:rPr>
          <w:rFonts w:ascii="Arial" w:eastAsia="Times New Roman" w:hAnsi="Arial" w:cs="Arial"/>
          <w:sz w:val="22"/>
          <w:szCs w:val="22"/>
          <w:lang w:val="en-GB"/>
        </w:rPr>
        <w:t xml:space="preserve">of closed complaints were upheld in 2024/205. </w:t>
      </w:r>
      <w:r w:rsidR="001C7FC0" w:rsidRPr="00625EEF">
        <w:rPr>
          <w:rFonts w:ascii="Arial" w:eastAsia="Times New Roman" w:hAnsi="Arial" w:cs="Arial"/>
          <w:sz w:val="22"/>
          <w:szCs w:val="22"/>
          <w:lang w:val="en-GB"/>
        </w:rPr>
        <w:t xml:space="preserve">This represents a </w:t>
      </w:r>
      <w:r w:rsidR="009C4EB6">
        <w:rPr>
          <w:rFonts w:ascii="Arial" w:eastAsia="Times New Roman" w:hAnsi="Arial" w:cs="Arial"/>
          <w:sz w:val="22"/>
          <w:szCs w:val="22"/>
          <w:lang w:val="en-GB"/>
        </w:rPr>
        <w:t>6.2</w:t>
      </w:r>
      <w:r w:rsidR="001C7FC0" w:rsidRPr="00625EEF">
        <w:rPr>
          <w:rFonts w:ascii="Arial" w:eastAsia="Times New Roman" w:hAnsi="Arial" w:cs="Arial"/>
          <w:sz w:val="22"/>
          <w:szCs w:val="22"/>
          <w:lang w:val="en-GB"/>
        </w:rPr>
        <w:t>%</w:t>
      </w:r>
      <w:r w:rsidR="00483B30" w:rsidRPr="00625EEF">
        <w:rPr>
          <w:rFonts w:ascii="Arial" w:eastAsia="Times New Roman" w:hAnsi="Arial" w:cs="Arial"/>
          <w:sz w:val="22"/>
          <w:szCs w:val="22"/>
          <w:lang w:val="en-GB"/>
        </w:rPr>
        <w:t xml:space="preserve"> </w:t>
      </w:r>
      <w:r w:rsidR="00625EEF" w:rsidRPr="00625EEF">
        <w:rPr>
          <w:rFonts w:ascii="Arial" w:eastAsia="Times New Roman" w:hAnsi="Arial" w:cs="Arial"/>
          <w:sz w:val="22"/>
          <w:szCs w:val="22"/>
          <w:lang w:val="en-GB"/>
        </w:rPr>
        <w:t>de</w:t>
      </w:r>
      <w:r w:rsidR="00483B30" w:rsidRPr="00625EEF">
        <w:rPr>
          <w:rFonts w:ascii="Arial" w:eastAsia="Times New Roman" w:hAnsi="Arial" w:cs="Arial"/>
          <w:sz w:val="22"/>
          <w:szCs w:val="22"/>
          <w:lang w:val="en-GB"/>
        </w:rPr>
        <w:t xml:space="preserve">crease in the </w:t>
      </w:r>
      <w:r w:rsidR="001704C6" w:rsidRPr="00625EEF">
        <w:rPr>
          <w:rFonts w:ascii="Arial" w:eastAsia="Times New Roman" w:hAnsi="Arial" w:cs="Arial"/>
          <w:sz w:val="22"/>
          <w:szCs w:val="22"/>
          <w:lang w:val="en-GB"/>
        </w:rPr>
        <w:t>percentage num</w:t>
      </w:r>
      <w:r w:rsidR="001C7FC0" w:rsidRPr="00625EEF">
        <w:rPr>
          <w:rFonts w:ascii="Arial" w:eastAsia="Times New Roman" w:hAnsi="Arial" w:cs="Arial"/>
          <w:sz w:val="22"/>
          <w:szCs w:val="22"/>
          <w:lang w:val="en-GB"/>
        </w:rPr>
        <w:t>ber of upheld complaints in 20</w:t>
      </w:r>
      <w:r w:rsidR="00675313" w:rsidRPr="00625EEF">
        <w:rPr>
          <w:rFonts w:ascii="Arial" w:eastAsia="Times New Roman" w:hAnsi="Arial" w:cs="Arial"/>
          <w:sz w:val="22"/>
          <w:szCs w:val="22"/>
          <w:lang w:val="en-GB"/>
        </w:rPr>
        <w:t>2</w:t>
      </w:r>
      <w:r w:rsidR="009C4EB6">
        <w:rPr>
          <w:rFonts w:ascii="Arial" w:eastAsia="Times New Roman" w:hAnsi="Arial" w:cs="Arial"/>
          <w:sz w:val="22"/>
          <w:szCs w:val="22"/>
          <w:lang w:val="en-GB"/>
        </w:rPr>
        <w:t>3/2024</w:t>
      </w:r>
      <w:r w:rsidR="00675313" w:rsidRPr="00625EEF">
        <w:rPr>
          <w:rFonts w:ascii="Arial" w:eastAsia="Times New Roman" w:hAnsi="Arial" w:cs="Arial"/>
          <w:sz w:val="22"/>
          <w:szCs w:val="22"/>
          <w:lang w:val="en-GB"/>
        </w:rPr>
        <w:t xml:space="preserve">. </w:t>
      </w:r>
      <w:r w:rsidR="00625EEF" w:rsidRPr="00625EEF">
        <w:rPr>
          <w:rFonts w:ascii="Arial" w:eastAsia="Times New Roman" w:hAnsi="Arial" w:cs="Arial"/>
          <w:sz w:val="22"/>
          <w:szCs w:val="22"/>
          <w:lang w:val="en-GB"/>
        </w:rPr>
        <w:t>2</w:t>
      </w:r>
      <w:r w:rsidR="00F82345">
        <w:rPr>
          <w:rFonts w:ascii="Arial" w:eastAsia="Times New Roman" w:hAnsi="Arial" w:cs="Arial"/>
          <w:sz w:val="22"/>
          <w:szCs w:val="22"/>
          <w:lang w:val="en-GB"/>
        </w:rPr>
        <w:t>7</w:t>
      </w:r>
      <w:r w:rsidR="001704C6" w:rsidRPr="00625EEF">
        <w:rPr>
          <w:rFonts w:ascii="Arial" w:eastAsia="Times New Roman" w:hAnsi="Arial" w:cs="Arial"/>
          <w:sz w:val="22"/>
          <w:szCs w:val="22"/>
          <w:lang w:val="en-GB"/>
        </w:rPr>
        <w:t xml:space="preserve">% of complaints were considered </w:t>
      </w:r>
      <w:r w:rsidR="009F7A46" w:rsidRPr="00625EEF">
        <w:rPr>
          <w:rFonts w:ascii="Arial" w:eastAsia="Times New Roman" w:hAnsi="Arial" w:cs="Arial"/>
          <w:sz w:val="22"/>
          <w:szCs w:val="22"/>
          <w:lang w:val="en-GB"/>
        </w:rPr>
        <w:t>to have been partially upheld</w:t>
      </w:r>
      <w:r w:rsidR="001C7FC0" w:rsidRPr="00625EEF">
        <w:rPr>
          <w:rFonts w:ascii="Arial" w:eastAsia="Times New Roman" w:hAnsi="Arial" w:cs="Arial"/>
          <w:sz w:val="22"/>
          <w:szCs w:val="22"/>
          <w:lang w:val="en-GB"/>
        </w:rPr>
        <w:t xml:space="preserve"> in 202</w:t>
      </w:r>
      <w:r w:rsidR="00580383">
        <w:rPr>
          <w:rFonts w:ascii="Arial" w:eastAsia="Times New Roman" w:hAnsi="Arial" w:cs="Arial"/>
          <w:sz w:val="22"/>
          <w:szCs w:val="22"/>
          <w:lang w:val="en-GB"/>
        </w:rPr>
        <w:t>4/2025</w:t>
      </w:r>
      <w:r w:rsidR="000A50E8">
        <w:rPr>
          <w:rFonts w:ascii="Arial" w:eastAsia="Times New Roman" w:hAnsi="Arial" w:cs="Arial"/>
          <w:sz w:val="22"/>
          <w:szCs w:val="22"/>
          <w:lang w:val="en-GB"/>
        </w:rPr>
        <w:t xml:space="preserve"> which is comparable to the % of partially upheld complaints in 2023/2024.</w:t>
      </w:r>
      <w:r w:rsidR="001704C6" w:rsidRPr="00625EEF">
        <w:rPr>
          <w:rFonts w:ascii="Arial" w:eastAsia="Times New Roman" w:hAnsi="Arial" w:cs="Arial"/>
          <w:sz w:val="22"/>
          <w:szCs w:val="22"/>
          <w:lang w:val="en-GB"/>
        </w:rPr>
        <w:t xml:space="preserve">  </w:t>
      </w:r>
      <w:r w:rsidR="001C7FC0" w:rsidRPr="00625EEF">
        <w:rPr>
          <w:rFonts w:ascii="Arial" w:eastAsia="Times New Roman" w:hAnsi="Arial" w:cs="Arial"/>
          <w:sz w:val="22"/>
          <w:szCs w:val="22"/>
          <w:lang w:val="en-GB"/>
        </w:rPr>
        <w:t>3</w:t>
      </w:r>
      <w:r w:rsidR="00B074CB">
        <w:rPr>
          <w:rFonts w:ascii="Arial" w:eastAsia="Times New Roman" w:hAnsi="Arial" w:cs="Arial"/>
          <w:sz w:val="22"/>
          <w:szCs w:val="22"/>
          <w:lang w:val="en-GB"/>
        </w:rPr>
        <w:t xml:space="preserve">1% of </w:t>
      </w:r>
      <w:r w:rsidR="001704C6" w:rsidRPr="00625EEF">
        <w:rPr>
          <w:rFonts w:ascii="Arial" w:eastAsia="Times New Roman" w:hAnsi="Arial" w:cs="Arial"/>
          <w:sz w:val="22"/>
          <w:szCs w:val="22"/>
          <w:lang w:val="en-GB"/>
        </w:rPr>
        <w:t>complaints we</w:t>
      </w:r>
      <w:r w:rsidR="001C7FC0" w:rsidRPr="00625EEF">
        <w:rPr>
          <w:rFonts w:ascii="Arial" w:eastAsia="Times New Roman" w:hAnsi="Arial" w:cs="Arial"/>
          <w:sz w:val="22"/>
          <w:szCs w:val="22"/>
          <w:lang w:val="en-GB"/>
        </w:rPr>
        <w:t>re considered not upheld in 202</w:t>
      </w:r>
      <w:r w:rsidR="003665F1">
        <w:rPr>
          <w:rFonts w:ascii="Arial" w:eastAsia="Times New Roman" w:hAnsi="Arial" w:cs="Arial"/>
          <w:sz w:val="22"/>
          <w:szCs w:val="22"/>
          <w:lang w:val="en-GB"/>
        </w:rPr>
        <w:t>4/2025. This represents a decrease of 5%</w:t>
      </w:r>
      <w:r w:rsidR="006E32DC">
        <w:rPr>
          <w:rFonts w:ascii="Arial" w:eastAsia="Times New Roman" w:hAnsi="Arial" w:cs="Arial"/>
          <w:sz w:val="22"/>
          <w:szCs w:val="22"/>
          <w:lang w:val="en-GB"/>
        </w:rPr>
        <w:t xml:space="preserve"> when compared to the percentage of complaints not upheld in 2023/2024. </w:t>
      </w:r>
      <w:r w:rsidR="00F82345">
        <w:rPr>
          <w:rFonts w:ascii="Arial" w:eastAsia="Times New Roman" w:hAnsi="Arial" w:cs="Arial"/>
          <w:sz w:val="22"/>
          <w:szCs w:val="22"/>
          <w:lang w:val="en-GB"/>
        </w:rPr>
        <w:t xml:space="preserve"> </w:t>
      </w:r>
    </w:p>
    <w:p w14:paraId="3A1F1102" w14:textId="77777777" w:rsidR="00625EEF" w:rsidRDefault="00625EEF" w:rsidP="00203BD4">
      <w:pPr>
        <w:spacing w:before="120" w:after="120"/>
        <w:jc w:val="both"/>
        <w:rPr>
          <w:rFonts w:ascii="Arial" w:hAnsi="Arial" w:cs="Arial"/>
          <w:b/>
          <w:bCs/>
          <w:sz w:val="22"/>
          <w:szCs w:val="22"/>
          <w:u w:val="single"/>
          <w:lang w:val="en-GB"/>
        </w:rPr>
      </w:pPr>
    </w:p>
    <w:p w14:paraId="604D9096" w14:textId="71088F23" w:rsidR="00203BD4" w:rsidRDefault="00C56D9B" w:rsidP="00203BD4">
      <w:pPr>
        <w:spacing w:before="120" w:after="120"/>
        <w:jc w:val="both"/>
        <w:rPr>
          <w:rFonts w:ascii="Arial" w:hAnsi="Arial" w:cs="Arial"/>
          <w:b/>
          <w:bCs/>
          <w:sz w:val="22"/>
          <w:szCs w:val="22"/>
          <w:u w:val="single"/>
          <w:lang w:val="en-GB"/>
        </w:rPr>
      </w:pPr>
      <w:r w:rsidRPr="00770912">
        <w:rPr>
          <w:rFonts w:ascii="Arial" w:hAnsi="Arial" w:cs="Arial"/>
          <w:b/>
          <w:bCs/>
          <w:sz w:val="22"/>
          <w:szCs w:val="22"/>
          <w:u w:val="single"/>
          <w:lang w:val="en-GB"/>
        </w:rPr>
        <w:t xml:space="preserve">4.1 </w:t>
      </w:r>
      <w:r w:rsidR="006F7659" w:rsidRPr="00770912">
        <w:rPr>
          <w:rFonts w:ascii="Arial" w:hAnsi="Arial" w:cs="Arial"/>
          <w:b/>
          <w:bCs/>
          <w:sz w:val="22"/>
          <w:szCs w:val="22"/>
          <w:u w:val="single"/>
          <w:lang w:val="en-GB"/>
        </w:rPr>
        <w:t>Upheld Complaints by Specialty</w:t>
      </w:r>
    </w:p>
    <w:p w14:paraId="5D51C097" w14:textId="77777777" w:rsidR="00773568" w:rsidRPr="006F7659" w:rsidRDefault="00773568" w:rsidP="00203BD4">
      <w:pPr>
        <w:spacing w:before="120" w:after="120"/>
        <w:jc w:val="both"/>
        <w:rPr>
          <w:rFonts w:ascii="Arial" w:hAnsi="Arial" w:cs="Arial"/>
          <w:b/>
          <w:bCs/>
          <w:sz w:val="22"/>
          <w:szCs w:val="22"/>
          <w:u w:val="single"/>
          <w:lang w:val="en-GB"/>
        </w:rPr>
      </w:pPr>
    </w:p>
    <w:p w14:paraId="1020F7DE" w14:textId="39772558" w:rsidR="007249A5" w:rsidRDefault="00FE6128" w:rsidP="00203BD4">
      <w:pPr>
        <w:spacing w:before="120" w:after="120"/>
        <w:jc w:val="both"/>
        <w:rPr>
          <w:rFonts w:ascii="Arial" w:hAnsi="Arial" w:cs="Arial"/>
          <w:sz w:val="22"/>
          <w:szCs w:val="22"/>
          <w:lang w:val="en-GB"/>
        </w:rPr>
      </w:pPr>
      <w:r>
        <w:rPr>
          <w:rFonts w:ascii="Arial" w:hAnsi="Arial" w:cs="Arial"/>
          <w:sz w:val="22"/>
          <w:szCs w:val="22"/>
          <w:lang w:val="en-GB"/>
        </w:rPr>
        <w:t>Figures 2,3</w:t>
      </w:r>
      <w:r w:rsidR="000C0BDF">
        <w:rPr>
          <w:rFonts w:ascii="Arial" w:hAnsi="Arial" w:cs="Arial"/>
          <w:sz w:val="22"/>
          <w:szCs w:val="22"/>
          <w:lang w:val="en-GB"/>
        </w:rPr>
        <w:t>,</w:t>
      </w:r>
      <w:r>
        <w:rPr>
          <w:rFonts w:ascii="Arial" w:hAnsi="Arial" w:cs="Arial"/>
          <w:sz w:val="22"/>
          <w:szCs w:val="22"/>
          <w:lang w:val="en-GB"/>
        </w:rPr>
        <w:t>4 and 5 below</w:t>
      </w:r>
      <w:r w:rsidR="006F7659">
        <w:rPr>
          <w:rFonts w:ascii="Arial" w:hAnsi="Arial" w:cs="Arial"/>
          <w:sz w:val="22"/>
          <w:szCs w:val="22"/>
          <w:lang w:val="en-GB"/>
        </w:rPr>
        <w:t xml:space="preserve"> demonstrate the breakdown of upheld complaints by specialty.</w:t>
      </w:r>
      <w:r w:rsidR="00770912">
        <w:rPr>
          <w:rFonts w:ascii="Arial" w:hAnsi="Arial" w:cs="Arial"/>
          <w:sz w:val="22"/>
          <w:szCs w:val="22"/>
          <w:lang w:val="en-GB"/>
        </w:rPr>
        <w:t xml:space="preserve">  These demonstrate that complaints are most commonly upheld within the Maternity, Emergency Medicine, Radiology and Trauma &amp; Orthopaedic specialties.  </w:t>
      </w:r>
    </w:p>
    <w:p w14:paraId="25898007" w14:textId="77777777" w:rsidR="00FE6128" w:rsidRDefault="00FE6128" w:rsidP="00203BD4">
      <w:pPr>
        <w:spacing w:before="120" w:after="120"/>
        <w:jc w:val="both"/>
        <w:rPr>
          <w:rFonts w:ascii="Arial" w:hAnsi="Arial" w:cs="Arial"/>
          <w:sz w:val="22"/>
          <w:szCs w:val="22"/>
          <w:lang w:val="en-GB"/>
        </w:rPr>
      </w:pPr>
    </w:p>
    <w:p w14:paraId="26FC294D" w14:textId="45FB43EF" w:rsidR="00E00CEF" w:rsidRPr="00FE6128" w:rsidRDefault="00FE6128" w:rsidP="00203BD4">
      <w:pPr>
        <w:spacing w:before="120" w:after="120"/>
        <w:jc w:val="both"/>
        <w:rPr>
          <w:rFonts w:ascii="Arial" w:hAnsi="Arial" w:cs="Arial"/>
          <w:b/>
          <w:bCs/>
          <w:sz w:val="22"/>
          <w:szCs w:val="22"/>
          <w:u w:val="single"/>
          <w:lang w:val="en-GB"/>
        </w:rPr>
      </w:pPr>
      <w:r w:rsidRPr="00FE6128">
        <w:rPr>
          <w:rFonts w:ascii="Arial" w:hAnsi="Arial" w:cs="Arial"/>
          <w:b/>
          <w:bCs/>
          <w:sz w:val="22"/>
          <w:szCs w:val="22"/>
          <w:u w:val="single"/>
          <w:lang w:val="en-GB"/>
        </w:rPr>
        <w:t>Figure 2</w:t>
      </w:r>
    </w:p>
    <w:p w14:paraId="4ED35000" w14:textId="77777777" w:rsidR="00E00CEF" w:rsidRDefault="00E00CEF" w:rsidP="00203BD4">
      <w:pPr>
        <w:spacing w:before="120" w:after="120"/>
        <w:jc w:val="both"/>
        <w:rPr>
          <w:rFonts w:ascii="Arial" w:hAnsi="Arial" w:cs="Arial"/>
          <w:sz w:val="22"/>
          <w:szCs w:val="22"/>
          <w:lang w:val="en-GB"/>
        </w:rPr>
      </w:pPr>
    </w:p>
    <w:p w14:paraId="6AE63FAD" w14:textId="3F02CE0E" w:rsidR="00805A79" w:rsidRDefault="00805A79" w:rsidP="00805A79">
      <w:pPr>
        <w:spacing w:before="120" w:after="120"/>
        <w:jc w:val="center"/>
        <w:rPr>
          <w:rFonts w:ascii="Arial" w:hAnsi="Arial" w:cs="Arial"/>
          <w:sz w:val="22"/>
          <w:szCs w:val="22"/>
          <w:lang w:val="en-GB"/>
        </w:rPr>
      </w:pPr>
      <w:r>
        <w:rPr>
          <w:rFonts w:ascii="Arial" w:hAnsi="Arial" w:cs="Arial"/>
          <w:noProof/>
          <w:sz w:val="22"/>
          <w:szCs w:val="22"/>
          <w:lang w:val="en-GB"/>
        </w:rPr>
        <w:drawing>
          <wp:inline distT="0" distB="0" distL="0" distR="0" wp14:anchorId="2AB3CA36" wp14:editId="68951332">
            <wp:extent cx="5418455" cy="3359150"/>
            <wp:effectExtent l="0" t="0" r="0" b="0"/>
            <wp:docPr id="2041596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42347" cy="3373962"/>
                    </a:xfrm>
                    <a:prstGeom prst="rect">
                      <a:avLst/>
                    </a:prstGeom>
                    <a:noFill/>
                  </pic:spPr>
                </pic:pic>
              </a:graphicData>
            </a:graphic>
          </wp:inline>
        </w:drawing>
      </w:r>
    </w:p>
    <w:p w14:paraId="6B80C05D" w14:textId="77777777" w:rsidR="00E00CEF" w:rsidRDefault="00E00CEF" w:rsidP="00805A79">
      <w:pPr>
        <w:spacing w:before="120" w:after="120"/>
        <w:jc w:val="center"/>
        <w:rPr>
          <w:rFonts w:ascii="Arial" w:hAnsi="Arial" w:cs="Arial"/>
          <w:sz w:val="22"/>
          <w:szCs w:val="22"/>
          <w:lang w:val="en-GB"/>
        </w:rPr>
      </w:pPr>
    </w:p>
    <w:p w14:paraId="66CD10CB" w14:textId="77777777" w:rsidR="00F15D12" w:rsidRDefault="00F15D12" w:rsidP="00FE6128">
      <w:pPr>
        <w:spacing w:before="120" w:after="120"/>
        <w:rPr>
          <w:rFonts w:ascii="Arial" w:hAnsi="Arial" w:cs="Arial"/>
          <w:b/>
          <w:bCs/>
          <w:sz w:val="22"/>
          <w:szCs w:val="22"/>
          <w:u w:val="single"/>
          <w:lang w:val="en-GB"/>
        </w:rPr>
      </w:pPr>
    </w:p>
    <w:p w14:paraId="42F68C89" w14:textId="77777777" w:rsidR="00F15D12" w:rsidRDefault="00F15D12" w:rsidP="00FE6128">
      <w:pPr>
        <w:spacing w:before="120" w:after="120"/>
        <w:rPr>
          <w:rFonts w:ascii="Arial" w:hAnsi="Arial" w:cs="Arial"/>
          <w:b/>
          <w:bCs/>
          <w:sz w:val="22"/>
          <w:szCs w:val="22"/>
          <w:u w:val="single"/>
          <w:lang w:val="en-GB"/>
        </w:rPr>
      </w:pPr>
    </w:p>
    <w:p w14:paraId="74C8DBCD" w14:textId="77777777" w:rsidR="00F15D12" w:rsidRDefault="00F15D12" w:rsidP="00FE6128">
      <w:pPr>
        <w:spacing w:before="120" w:after="120"/>
        <w:rPr>
          <w:rFonts w:ascii="Arial" w:hAnsi="Arial" w:cs="Arial"/>
          <w:b/>
          <w:bCs/>
          <w:sz w:val="22"/>
          <w:szCs w:val="22"/>
          <w:u w:val="single"/>
          <w:lang w:val="en-GB"/>
        </w:rPr>
      </w:pPr>
    </w:p>
    <w:p w14:paraId="5773ACE7" w14:textId="77777777" w:rsidR="00F15D12" w:rsidRDefault="00F15D12" w:rsidP="00FE6128">
      <w:pPr>
        <w:spacing w:before="120" w:after="120"/>
        <w:rPr>
          <w:rFonts w:ascii="Arial" w:hAnsi="Arial" w:cs="Arial"/>
          <w:b/>
          <w:bCs/>
          <w:sz w:val="22"/>
          <w:szCs w:val="22"/>
          <w:u w:val="single"/>
          <w:lang w:val="en-GB"/>
        </w:rPr>
      </w:pPr>
    </w:p>
    <w:p w14:paraId="6B16C8B0" w14:textId="77777777" w:rsidR="00F15D12" w:rsidRDefault="00F15D12" w:rsidP="00FE6128">
      <w:pPr>
        <w:spacing w:before="120" w:after="120"/>
        <w:rPr>
          <w:rFonts w:ascii="Arial" w:hAnsi="Arial" w:cs="Arial"/>
          <w:b/>
          <w:bCs/>
          <w:sz w:val="22"/>
          <w:szCs w:val="22"/>
          <w:u w:val="single"/>
          <w:lang w:val="en-GB"/>
        </w:rPr>
      </w:pPr>
    </w:p>
    <w:p w14:paraId="6EDD823D" w14:textId="77777777" w:rsidR="00F15D12" w:rsidRDefault="00F15D12" w:rsidP="00FE6128">
      <w:pPr>
        <w:spacing w:before="120" w:after="120"/>
        <w:rPr>
          <w:rFonts w:ascii="Arial" w:hAnsi="Arial" w:cs="Arial"/>
          <w:b/>
          <w:bCs/>
          <w:sz w:val="22"/>
          <w:szCs w:val="22"/>
          <w:u w:val="single"/>
          <w:lang w:val="en-GB"/>
        </w:rPr>
      </w:pPr>
    </w:p>
    <w:p w14:paraId="4DBF0EFA" w14:textId="77777777" w:rsidR="00F15D12" w:rsidRDefault="00F15D12" w:rsidP="00FE6128">
      <w:pPr>
        <w:spacing w:before="120" w:after="120"/>
        <w:rPr>
          <w:rFonts w:ascii="Arial" w:hAnsi="Arial" w:cs="Arial"/>
          <w:b/>
          <w:bCs/>
          <w:sz w:val="22"/>
          <w:szCs w:val="22"/>
          <w:u w:val="single"/>
          <w:lang w:val="en-GB"/>
        </w:rPr>
      </w:pPr>
    </w:p>
    <w:p w14:paraId="6AF333A9" w14:textId="42DA5A17" w:rsidR="00E00CEF" w:rsidRDefault="00FE6128" w:rsidP="00FE6128">
      <w:pPr>
        <w:spacing w:before="120" w:after="120"/>
        <w:rPr>
          <w:rFonts w:ascii="Arial" w:hAnsi="Arial" w:cs="Arial"/>
          <w:b/>
          <w:bCs/>
          <w:sz w:val="22"/>
          <w:szCs w:val="22"/>
          <w:u w:val="single"/>
          <w:lang w:val="en-GB"/>
        </w:rPr>
      </w:pPr>
      <w:r w:rsidRPr="00FE6128">
        <w:rPr>
          <w:rFonts w:ascii="Arial" w:hAnsi="Arial" w:cs="Arial"/>
          <w:b/>
          <w:bCs/>
          <w:sz w:val="22"/>
          <w:szCs w:val="22"/>
          <w:u w:val="single"/>
          <w:lang w:val="en-GB"/>
        </w:rPr>
        <w:lastRenderedPageBreak/>
        <w:t>Figure 3</w:t>
      </w:r>
    </w:p>
    <w:p w14:paraId="015FB3A5" w14:textId="77777777" w:rsidR="00F15D12" w:rsidRPr="00FE6128" w:rsidRDefault="00F15D12" w:rsidP="00FE6128">
      <w:pPr>
        <w:spacing w:before="120" w:after="120"/>
        <w:rPr>
          <w:rFonts w:ascii="Arial" w:hAnsi="Arial" w:cs="Arial"/>
          <w:b/>
          <w:bCs/>
          <w:sz w:val="22"/>
          <w:szCs w:val="22"/>
          <w:u w:val="single"/>
          <w:lang w:val="en-GB"/>
        </w:rPr>
      </w:pPr>
    </w:p>
    <w:p w14:paraId="4B56D338" w14:textId="0D8C2D11" w:rsidR="00805A79" w:rsidRDefault="00805A79" w:rsidP="00FE6128">
      <w:pPr>
        <w:spacing w:before="120" w:after="120"/>
        <w:jc w:val="center"/>
        <w:rPr>
          <w:rFonts w:ascii="Arial" w:hAnsi="Arial" w:cs="Arial"/>
          <w:sz w:val="22"/>
          <w:szCs w:val="22"/>
          <w:lang w:val="en-GB"/>
        </w:rPr>
      </w:pPr>
      <w:r>
        <w:rPr>
          <w:rFonts w:ascii="Arial" w:hAnsi="Arial" w:cs="Arial"/>
          <w:noProof/>
          <w:sz w:val="22"/>
          <w:szCs w:val="22"/>
          <w:lang w:val="en-GB"/>
        </w:rPr>
        <w:drawing>
          <wp:inline distT="0" distB="0" distL="0" distR="0" wp14:anchorId="12A401CE" wp14:editId="479635A7">
            <wp:extent cx="5352415" cy="2882900"/>
            <wp:effectExtent l="0" t="0" r="635" b="0"/>
            <wp:docPr id="510823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76559" cy="2895904"/>
                    </a:xfrm>
                    <a:prstGeom prst="rect">
                      <a:avLst/>
                    </a:prstGeom>
                    <a:noFill/>
                  </pic:spPr>
                </pic:pic>
              </a:graphicData>
            </a:graphic>
          </wp:inline>
        </w:drawing>
      </w:r>
    </w:p>
    <w:p w14:paraId="67FB7D33" w14:textId="4D347A88" w:rsidR="00FE6128" w:rsidRPr="00FE6128" w:rsidRDefault="00FE6128" w:rsidP="00FE6128">
      <w:pPr>
        <w:spacing w:before="120" w:after="120"/>
        <w:rPr>
          <w:rFonts w:ascii="Arial" w:hAnsi="Arial" w:cs="Arial"/>
          <w:b/>
          <w:bCs/>
          <w:sz w:val="22"/>
          <w:szCs w:val="22"/>
          <w:u w:val="single"/>
          <w:lang w:val="en-GB"/>
        </w:rPr>
      </w:pPr>
      <w:r w:rsidRPr="00FE6128">
        <w:rPr>
          <w:rFonts w:ascii="Arial" w:hAnsi="Arial" w:cs="Arial"/>
          <w:b/>
          <w:bCs/>
          <w:sz w:val="22"/>
          <w:szCs w:val="22"/>
          <w:u w:val="single"/>
          <w:lang w:val="en-GB"/>
        </w:rPr>
        <w:t>Figure 4</w:t>
      </w:r>
    </w:p>
    <w:p w14:paraId="45C9FB11" w14:textId="77777777" w:rsidR="00805A79" w:rsidRDefault="00805A79" w:rsidP="00203BD4">
      <w:pPr>
        <w:spacing w:before="120" w:after="120"/>
        <w:jc w:val="both"/>
        <w:rPr>
          <w:rFonts w:ascii="Arial" w:hAnsi="Arial" w:cs="Arial"/>
          <w:sz w:val="22"/>
          <w:szCs w:val="22"/>
          <w:lang w:val="en-GB"/>
        </w:rPr>
      </w:pPr>
    </w:p>
    <w:p w14:paraId="67FC28A2" w14:textId="41BE5C87" w:rsidR="00805A79" w:rsidRDefault="00E00CEF" w:rsidP="00E00CEF">
      <w:pPr>
        <w:spacing w:before="120" w:after="120"/>
        <w:jc w:val="center"/>
        <w:rPr>
          <w:rFonts w:ascii="Arial" w:hAnsi="Arial" w:cs="Arial"/>
          <w:sz w:val="22"/>
          <w:szCs w:val="22"/>
          <w:lang w:val="en-GB"/>
        </w:rPr>
      </w:pPr>
      <w:r>
        <w:rPr>
          <w:rFonts w:ascii="Arial" w:hAnsi="Arial" w:cs="Arial"/>
          <w:noProof/>
          <w:sz w:val="22"/>
          <w:szCs w:val="22"/>
          <w:lang w:val="en-GB"/>
        </w:rPr>
        <w:drawing>
          <wp:inline distT="0" distB="0" distL="0" distR="0" wp14:anchorId="5B43C67A" wp14:editId="12184185">
            <wp:extent cx="5361646" cy="3562350"/>
            <wp:effectExtent l="0" t="0" r="0" b="0"/>
            <wp:docPr id="14893703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89286" cy="3580714"/>
                    </a:xfrm>
                    <a:prstGeom prst="rect">
                      <a:avLst/>
                    </a:prstGeom>
                    <a:noFill/>
                  </pic:spPr>
                </pic:pic>
              </a:graphicData>
            </a:graphic>
          </wp:inline>
        </w:drawing>
      </w:r>
    </w:p>
    <w:p w14:paraId="4D84662C" w14:textId="77777777" w:rsidR="00F15D12" w:rsidRDefault="00F15D12" w:rsidP="00203BD4">
      <w:pPr>
        <w:spacing w:before="120" w:after="120"/>
        <w:jc w:val="both"/>
        <w:rPr>
          <w:rFonts w:ascii="Arial" w:hAnsi="Arial" w:cs="Arial"/>
          <w:b/>
          <w:bCs/>
          <w:sz w:val="22"/>
          <w:szCs w:val="22"/>
          <w:u w:val="single"/>
          <w:lang w:val="en-GB"/>
        </w:rPr>
      </w:pPr>
    </w:p>
    <w:p w14:paraId="0DDC69F1" w14:textId="77777777" w:rsidR="00F15D12" w:rsidRDefault="00F15D12" w:rsidP="00203BD4">
      <w:pPr>
        <w:spacing w:before="120" w:after="120"/>
        <w:jc w:val="both"/>
        <w:rPr>
          <w:rFonts w:ascii="Arial" w:hAnsi="Arial" w:cs="Arial"/>
          <w:b/>
          <w:bCs/>
          <w:sz w:val="22"/>
          <w:szCs w:val="22"/>
          <w:u w:val="single"/>
          <w:lang w:val="en-GB"/>
        </w:rPr>
      </w:pPr>
    </w:p>
    <w:p w14:paraId="30EF9359" w14:textId="77777777" w:rsidR="00F15D12" w:rsidRDefault="00F15D12" w:rsidP="00203BD4">
      <w:pPr>
        <w:spacing w:before="120" w:after="120"/>
        <w:jc w:val="both"/>
        <w:rPr>
          <w:rFonts w:ascii="Arial" w:hAnsi="Arial" w:cs="Arial"/>
          <w:b/>
          <w:bCs/>
          <w:sz w:val="22"/>
          <w:szCs w:val="22"/>
          <w:u w:val="single"/>
          <w:lang w:val="en-GB"/>
        </w:rPr>
      </w:pPr>
    </w:p>
    <w:p w14:paraId="4F9781CF" w14:textId="77777777" w:rsidR="00F15D12" w:rsidRDefault="00F15D12" w:rsidP="00203BD4">
      <w:pPr>
        <w:spacing w:before="120" w:after="120"/>
        <w:jc w:val="both"/>
        <w:rPr>
          <w:rFonts w:ascii="Arial" w:hAnsi="Arial" w:cs="Arial"/>
          <w:b/>
          <w:bCs/>
          <w:sz w:val="22"/>
          <w:szCs w:val="22"/>
          <w:u w:val="single"/>
          <w:lang w:val="en-GB"/>
        </w:rPr>
      </w:pPr>
    </w:p>
    <w:p w14:paraId="17E173EC" w14:textId="77777777" w:rsidR="00F15D12" w:rsidRDefault="00F15D12" w:rsidP="00203BD4">
      <w:pPr>
        <w:spacing w:before="120" w:after="120"/>
        <w:jc w:val="both"/>
        <w:rPr>
          <w:rFonts w:ascii="Arial" w:hAnsi="Arial" w:cs="Arial"/>
          <w:b/>
          <w:bCs/>
          <w:sz w:val="22"/>
          <w:szCs w:val="22"/>
          <w:u w:val="single"/>
          <w:lang w:val="en-GB"/>
        </w:rPr>
      </w:pPr>
    </w:p>
    <w:p w14:paraId="20820FB0" w14:textId="77777777" w:rsidR="00F15D12" w:rsidRDefault="00F15D12" w:rsidP="00203BD4">
      <w:pPr>
        <w:spacing w:before="120" w:after="120"/>
        <w:jc w:val="both"/>
        <w:rPr>
          <w:rFonts w:ascii="Arial" w:hAnsi="Arial" w:cs="Arial"/>
          <w:b/>
          <w:bCs/>
          <w:sz w:val="22"/>
          <w:szCs w:val="22"/>
          <w:u w:val="single"/>
          <w:lang w:val="en-GB"/>
        </w:rPr>
      </w:pPr>
    </w:p>
    <w:p w14:paraId="017100C3" w14:textId="77777777" w:rsidR="00F15D12" w:rsidRDefault="00F15D12" w:rsidP="00203BD4">
      <w:pPr>
        <w:spacing w:before="120" w:after="120"/>
        <w:jc w:val="both"/>
        <w:rPr>
          <w:rFonts w:ascii="Arial" w:hAnsi="Arial" w:cs="Arial"/>
          <w:b/>
          <w:bCs/>
          <w:sz w:val="22"/>
          <w:szCs w:val="22"/>
          <w:u w:val="single"/>
          <w:lang w:val="en-GB"/>
        </w:rPr>
      </w:pPr>
    </w:p>
    <w:p w14:paraId="1016C1FA" w14:textId="38A0873D" w:rsidR="00805A79" w:rsidRPr="00FE6128" w:rsidRDefault="00FE6128" w:rsidP="00203BD4">
      <w:pPr>
        <w:spacing w:before="120" w:after="120"/>
        <w:jc w:val="both"/>
        <w:rPr>
          <w:rFonts w:ascii="Arial" w:hAnsi="Arial" w:cs="Arial"/>
          <w:b/>
          <w:bCs/>
          <w:sz w:val="22"/>
          <w:szCs w:val="22"/>
          <w:u w:val="single"/>
          <w:lang w:val="en-GB"/>
        </w:rPr>
      </w:pPr>
      <w:r w:rsidRPr="00FE6128">
        <w:rPr>
          <w:rFonts w:ascii="Arial" w:hAnsi="Arial" w:cs="Arial"/>
          <w:b/>
          <w:bCs/>
          <w:sz w:val="22"/>
          <w:szCs w:val="22"/>
          <w:u w:val="single"/>
          <w:lang w:val="en-GB"/>
        </w:rPr>
        <w:lastRenderedPageBreak/>
        <w:t>Figure 5</w:t>
      </w:r>
    </w:p>
    <w:p w14:paraId="2EC295E0" w14:textId="345197E5" w:rsidR="00E00CEF" w:rsidRDefault="00E00CEF" w:rsidP="00E00CEF">
      <w:pPr>
        <w:spacing w:before="120" w:after="120"/>
        <w:jc w:val="center"/>
        <w:rPr>
          <w:rFonts w:ascii="Arial" w:hAnsi="Arial" w:cs="Arial"/>
          <w:sz w:val="22"/>
          <w:szCs w:val="22"/>
          <w:lang w:val="en-GB"/>
        </w:rPr>
      </w:pPr>
      <w:r>
        <w:rPr>
          <w:rFonts w:ascii="Arial" w:hAnsi="Arial" w:cs="Arial"/>
          <w:noProof/>
          <w:sz w:val="22"/>
          <w:szCs w:val="22"/>
          <w:lang w:val="en-GB"/>
        </w:rPr>
        <w:drawing>
          <wp:inline distT="0" distB="0" distL="0" distR="0" wp14:anchorId="4E1116E6" wp14:editId="3356556F">
            <wp:extent cx="5380761" cy="3575050"/>
            <wp:effectExtent l="0" t="0" r="0" b="6350"/>
            <wp:docPr id="18675785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9834" cy="3587723"/>
                    </a:xfrm>
                    <a:prstGeom prst="rect">
                      <a:avLst/>
                    </a:prstGeom>
                    <a:noFill/>
                  </pic:spPr>
                </pic:pic>
              </a:graphicData>
            </a:graphic>
          </wp:inline>
        </w:drawing>
      </w:r>
    </w:p>
    <w:p w14:paraId="47923CDC" w14:textId="28984EB5" w:rsidR="00D56E25" w:rsidRDefault="00D56E25" w:rsidP="00D56E25">
      <w:pPr>
        <w:spacing w:before="120" w:after="120"/>
        <w:jc w:val="both"/>
        <w:rPr>
          <w:rFonts w:ascii="Arial" w:hAnsi="Arial" w:cs="Arial"/>
          <w:sz w:val="22"/>
          <w:szCs w:val="22"/>
          <w:lang w:val="en-GB"/>
        </w:rPr>
      </w:pPr>
    </w:p>
    <w:p w14:paraId="76104327" w14:textId="77777777" w:rsidR="00D56E25" w:rsidRDefault="00D56E25" w:rsidP="00D56E25">
      <w:pPr>
        <w:spacing w:before="120" w:after="120"/>
        <w:jc w:val="both"/>
        <w:rPr>
          <w:rFonts w:ascii="Arial" w:hAnsi="Arial" w:cs="Arial"/>
          <w:sz w:val="22"/>
          <w:szCs w:val="22"/>
          <w:lang w:val="en-GB"/>
        </w:rPr>
      </w:pPr>
    </w:p>
    <w:p w14:paraId="5CE56705" w14:textId="77777777" w:rsidR="00D56E25" w:rsidRPr="004D40DC" w:rsidRDefault="00D56E25" w:rsidP="00165C20">
      <w:pPr>
        <w:pStyle w:val="ListParagraph"/>
        <w:numPr>
          <w:ilvl w:val="0"/>
          <w:numId w:val="17"/>
        </w:numPr>
        <w:spacing w:before="120" w:after="120"/>
        <w:jc w:val="both"/>
        <w:rPr>
          <w:rFonts w:ascii="Arial" w:hAnsi="Arial" w:cs="Arial"/>
          <w:b/>
          <w:bCs/>
          <w:sz w:val="22"/>
          <w:szCs w:val="22"/>
          <w:lang w:val="en-GB"/>
        </w:rPr>
      </w:pPr>
      <w:r w:rsidRPr="004D40DC">
        <w:rPr>
          <w:rFonts w:ascii="Arial" w:hAnsi="Arial" w:cs="Arial"/>
          <w:b/>
          <w:bCs/>
          <w:sz w:val="22"/>
          <w:szCs w:val="22"/>
          <w:lang w:val="en-GB"/>
        </w:rPr>
        <w:t>Complaint Themes</w:t>
      </w:r>
    </w:p>
    <w:p w14:paraId="0AC1A753" w14:textId="55E33FC5" w:rsidR="00C73FEA" w:rsidRDefault="003E34F1" w:rsidP="00D56E25">
      <w:pPr>
        <w:spacing w:before="120" w:after="120"/>
        <w:ind w:left="360"/>
        <w:jc w:val="both"/>
        <w:rPr>
          <w:rFonts w:ascii="Arial" w:hAnsi="Arial" w:cs="Arial"/>
          <w:sz w:val="22"/>
          <w:szCs w:val="22"/>
          <w:lang w:val="en-GB"/>
        </w:rPr>
      </w:pPr>
      <w:r w:rsidRPr="00D56E25">
        <w:rPr>
          <w:rFonts w:ascii="Arial" w:hAnsi="Arial" w:cs="Arial"/>
          <w:sz w:val="22"/>
          <w:szCs w:val="22"/>
          <w:lang w:val="en-GB"/>
        </w:rPr>
        <w:t xml:space="preserve">Table </w:t>
      </w:r>
      <w:r w:rsidR="00FE6128">
        <w:rPr>
          <w:rFonts w:ascii="Arial" w:hAnsi="Arial" w:cs="Arial"/>
          <w:sz w:val="22"/>
          <w:szCs w:val="22"/>
          <w:lang w:val="en-GB"/>
        </w:rPr>
        <w:t>4</w:t>
      </w:r>
      <w:r w:rsidRPr="00D56E25">
        <w:rPr>
          <w:rFonts w:ascii="Arial" w:hAnsi="Arial" w:cs="Arial"/>
          <w:sz w:val="22"/>
          <w:szCs w:val="22"/>
          <w:lang w:val="en-GB"/>
        </w:rPr>
        <w:t xml:space="preserve"> </w:t>
      </w:r>
      <w:r w:rsidR="00814855" w:rsidRPr="00D56E25">
        <w:rPr>
          <w:rFonts w:ascii="Arial" w:hAnsi="Arial" w:cs="Arial"/>
          <w:sz w:val="22"/>
          <w:szCs w:val="22"/>
          <w:lang w:val="en-GB"/>
        </w:rPr>
        <w:t xml:space="preserve">below identifies the themes and trends from our </w:t>
      </w:r>
      <w:r w:rsidR="00511614" w:rsidRPr="00D56E25">
        <w:rPr>
          <w:rFonts w:ascii="Arial" w:hAnsi="Arial" w:cs="Arial"/>
          <w:sz w:val="22"/>
          <w:szCs w:val="22"/>
          <w:lang w:val="en-GB"/>
        </w:rPr>
        <w:t>complaints;</w:t>
      </w:r>
      <w:r w:rsidR="00814855" w:rsidRPr="00D56E25">
        <w:rPr>
          <w:rFonts w:ascii="Arial" w:hAnsi="Arial" w:cs="Arial"/>
          <w:sz w:val="22"/>
          <w:szCs w:val="22"/>
          <w:lang w:val="en-GB"/>
        </w:rPr>
        <w:t xml:space="preserve"> the top 5 themes are highlighted </w:t>
      </w:r>
      <w:r w:rsidR="007025D9">
        <w:rPr>
          <w:rFonts w:ascii="Arial" w:hAnsi="Arial" w:cs="Arial"/>
          <w:sz w:val="22"/>
          <w:szCs w:val="22"/>
          <w:lang w:val="en-GB"/>
        </w:rPr>
        <w:t>in blue</w:t>
      </w:r>
      <w:r w:rsidR="00853DBF" w:rsidRPr="00D56E25">
        <w:rPr>
          <w:rFonts w:ascii="Arial" w:hAnsi="Arial" w:cs="Arial"/>
          <w:sz w:val="22"/>
          <w:szCs w:val="22"/>
          <w:lang w:val="en-GB"/>
        </w:rPr>
        <w:t>.</w:t>
      </w:r>
    </w:p>
    <w:p w14:paraId="44A6DE20" w14:textId="77777777" w:rsidR="00D40C2C" w:rsidRDefault="00D40C2C" w:rsidP="00D56E25">
      <w:pPr>
        <w:spacing w:before="120" w:after="120"/>
        <w:ind w:left="360"/>
        <w:jc w:val="both"/>
        <w:rPr>
          <w:rFonts w:ascii="Arial" w:hAnsi="Arial" w:cs="Arial"/>
          <w:sz w:val="22"/>
          <w:szCs w:val="22"/>
          <w:lang w:val="en-GB"/>
        </w:rPr>
      </w:pPr>
    </w:p>
    <w:tbl>
      <w:tblPr>
        <w:tblStyle w:val="TableGrid"/>
        <w:tblW w:w="9728" w:type="dxa"/>
        <w:jc w:val="center"/>
        <w:tblLook w:val="04A0" w:firstRow="1" w:lastRow="0" w:firstColumn="1" w:lastColumn="0" w:noHBand="0" w:noVBand="1"/>
      </w:tblPr>
      <w:tblGrid>
        <w:gridCol w:w="2541"/>
        <w:gridCol w:w="2416"/>
        <w:gridCol w:w="2269"/>
        <w:gridCol w:w="2421"/>
        <w:gridCol w:w="81"/>
      </w:tblGrid>
      <w:tr w:rsidR="00136D9B" w:rsidRPr="004537C7" w14:paraId="2D79E50E" w14:textId="77777777" w:rsidTr="00D037D4">
        <w:trPr>
          <w:gridAfter w:val="1"/>
          <w:wAfter w:w="81" w:type="dxa"/>
          <w:jc w:val="center"/>
        </w:trPr>
        <w:tc>
          <w:tcPr>
            <w:tcW w:w="2541" w:type="dxa"/>
            <w:shd w:val="clear" w:color="auto" w:fill="F2F2F2" w:themeFill="background1" w:themeFillShade="F2"/>
            <w:vAlign w:val="center"/>
          </w:tcPr>
          <w:p w14:paraId="16A4969A" w14:textId="77777777" w:rsidR="00136D9B" w:rsidRPr="00452CE4" w:rsidRDefault="00136D9B" w:rsidP="001F4F5D">
            <w:pPr>
              <w:spacing w:before="120" w:after="120"/>
              <w:rPr>
                <w:rFonts w:ascii="Arial" w:hAnsi="Arial" w:cs="Arial"/>
                <w:b/>
                <w:lang w:val="en-GB"/>
              </w:rPr>
            </w:pPr>
            <w:r w:rsidRPr="00452CE4">
              <w:rPr>
                <w:rFonts w:ascii="Arial" w:hAnsi="Arial" w:cs="Arial"/>
                <w:b/>
                <w:lang w:val="en-GB"/>
              </w:rPr>
              <w:t>Complaint Theme</w:t>
            </w:r>
          </w:p>
        </w:tc>
        <w:tc>
          <w:tcPr>
            <w:tcW w:w="2416" w:type="dxa"/>
            <w:shd w:val="clear" w:color="auto" w:fill="F2F2F2" w:themeFill="background1" w:themeFillShade="F2"/>
          </w:tcPr>
          <w:p w14:paraId="43326258" w14:textId="77777777" w:rsidR="00136D9B" w:rsidRDefault="00136D9B" w:rsidP="001F4F5D">
            <w:pPr>
              <w:spacing w:before="120" w:after="120"/>
              <w:jc w:val="center"/>
              <w:rPr>
                <w:rFonts w:ascii="Arial" w:hAnsi="Arial" w:cs="Arial"/>
                <w:b/>
                <w:lang w:val="en-GB"/>
              </w:rPr>
            </w:pPr>
            <w:r>
              <w:rPr>
                <w:rFonts w:ascii="Arial" w:hAnsi="Arial" w:cs="Arial"/>
                <w:b/>
                <w:lang w:val="en-GB"/>
              </w:rPr>
              <w:t>Total complaints 2024/2025</w:t>
            </w:r>
          </w:p>
        </w:tc>
        <w:tc>
          <w:tcPr>
            <w:tcW w:w="2269" w:type="dxa"/>
            <w:shd w:val="clear" w:color="auto" w:fill="F2F2F2" w:themeFill="background1" w:themeFillShade="F2"/>
            <w:vAlign w:val="center"/>
          </w:tcPr>
          <w:p w14:paraId="7EF39FFC" w14:textId="77777777" w:rsidR="00136D9B" w:rsidRPr="00452CE4" w:rsidRDefault="00136D9B" w:rsidP="001F4F5D">
            <w:pPr>
              <w:spacing w:before="120" w:after="120"/>
              <w:jc w:val="center"/>
              <w:rPr>
                <w:rFonts w:ascii="Arial" w:hAnsi="Arial" w:cs="Arial"/>
                <w:b/>
                <w:lang w:val="en-GB"/>
              </w:rPr>
            </w:pPr>
            <w:r>
              <w:rPr>
                <w:rFonts w:ascii="Arial" w:hAnsi="Arial" w:cs="Arial"/>
                <w:b/>
                <w:lang w:val="en-GB"/>
              </w:rPr>
              <w:t>Total complaints 2023/2024</w:t>
            </w:r>
          </w:p>
        </w:tc>
        <w:tc>
          <w:tcPr>
            <w:tcW w:w="2421" w:type="dxa"/>
            <w:shd w:val="clear" w:color="auto" w:fill="F2F2F2" w:themeFill="background1" w:themeFillShade="F2"/>
            <w:vAlign w:val="center"/>
          </w:tcPr>
          <w:p w14:paraId="634D7477" w14:textId="77777777" w:rsidR="00136D9B" w:rsidRPr="00452CE4" w:rsidRDefault="00136D9B" w:rsidP="001F4F5D">
            <w:pPr>
              <w:spacing w:before="120" w:after="120"/>
              <w:jc w:val="center"/>
              <w:rPr>
                <w:rFonts w:ascii="Arial" w:hAnsi="Arial" w:cs="Arial"/>
                <w:b/>
                <w:lang w:val="en-GB"/>
              </w:rPr>
            </w:pPr>
            <w:r>
              <w:rPr>
                <w:rFonts w:ascii="Arial" w:hAnsi="Arial" w:cs="Arial"/>
                <w:b/>
                <w:lang w:val="en-GB"/>
              </w:rPr>
              <w:t>Total complaints 2022/2023</w:t>
            </w:r>
          </w:p>
        </w:tc>
      </w:tr>
      <w:tr w:rsidR="00D037D4" w:rsidRPr="004537C7" w14:paraId="76C3296D" w14:textId="77777777" w:rsidTr="006F211A">
        <w:trPr>
          <w:trHeight w:val="567"/>
          <w:jc w:val="center"/>
        </w:trPr>
        <w:tc>
          <w:tcPr>
            <w:tcW w:w="2541" w:type="dxa"/>
            <w:shd w:val="clear" w:color="auto" w:fill="4F81BD" w:themeFill="accent1"/>
            <w:vAlign w:val="center"/>
          </w:tcPr>
          <w:p w14:paraId="38550C2C" w14:textId="77777777" w:rsidR="00D037D4" w:rsidRPr="00B81ED7" w:rsidRDefault="00D037D4" w:rsidP="001F4F5D">
            <w:pPr>
              <w:rPr>
                <w:rFonts w:ascii="Arial" w:eastAsia="Times New Roman" w:hAnsi="Arial" w:cs="Arial"/>
                <w:lang w:val="en-GB" w:eastAsia="en-GB"/>
              </w:rPr>
            </w:pPr>
            <w:r w:rsidRPr="00B81ED7">
              <w:rPr>
                <w:rFonts w:ascii="Arial" w:eastAsia="Times New Roman" w:hAnsi="Arial" w:cs="Arial"/>
                <w:lang w:val="en-GB" w:eastAsia="en-GB"/>
              </w:rPr>
              <w:t>Clinical Treatment (Medical)</w:t>
            </w:r>
          </w:p>
        </w:tc>
        <w:tc>
          <w:tcPr>
            <w:tcW w:w="2416" w:type="dxa"/>
            <w:shd w:val="clear" w:color="auto" w:fill="4F81BD" w:themeFill="accent1"/>
          </w:tcPr>
          <w:p w14:paraId="59F9B4D1" w14:textId="77777777" w:rsidR="00D037D4" w:rsidRDefault="00D037D4" w:rsidP="001F4F5D">
            <w:pPr>
              <w:jc w:val="right"/>
              <w:rPr>
                <w:rFonts w:ascii="Arial" w:hAnsi="Arial" w:cs="Arial"/>
                <w:lang w:val="en-GB"/>
              </w:rPr>
            </w:pPr>
          </w:p>
          <w:p w14:paraId="31C0D5C4" w14:textId="1077AB77" w:rsidR="00D037D4" w:rsidRPr="00B81ED7" w:rsidRDefault="00D037D4" w:rsidP="00D037D4">
            <w:pPr>
              <w:jc w:val="center"/>
              <w:rPr>
                <w:rFonts w:ascii="Arial" w:hAnsi="Arial" w:cs="Arial"/>
                <w:lang w:val="en-GB"/>
              </w:rPr>
            </w:pPr>
            <w:r w:rsidRPr="00B81ED7">
              <w:rPr>
                <w:rFonts w:ascii="Arial" w:hAnsi="Arial" w:cs="Arial"/>
                <w:lang w:val="en-GB"/>
              </w:rPr>
              <w:t>468</w:t>
            </w:r>
          </w:p>
        </w:tc>
        <w:tc>
          <w:tcPr>
            <w:tcW w:w="2269" w:type="dxa"/>
            <w:shd w:val="clear" w:color="auto" w:fill="4F81BD" w:themeFill="accent1"/>
            <w:vAlign w:val="center"/>
          </w:tcPr>
          <w:p w14:paraId="5AEF8C70" w14:textId="77777777" w:rsidR="00D037D4" w:rsidRDefault="00D037D4" w:rsidP="001F4F5D">
            <w:pPr>
              <w:jc w:val="right"/>
              <w:rPr>
                <w:rFonts w:ascii="Arial" w:hAnsi="Arial" w:cs="Arial"/>
                <w:lang w:val="en-GB"/>
              </w:rPr>
            </w:pPr>
          </w:p>
          <w:p w14:paraId="796BACEE" w14:textId="32D61BA6" w:rsidR="00D037D4" w:rsidRPr="00B81ED7" w:rsidRDefault="00D037D4" w:rsidP="00D037D4">
            <w:pPr>
              <w:jc w:val="center"/>
              <w:rPr>
                <w:rFonts w:ascii="Arial" w:hAnsi="Arial" w:cs="Arial"/>
                <w:lang w:val="en-GB"/>
              </w:rPr>
            </w:pPr>
            <w:r w:rsidRPr="00B81ED7">
              <w:rPr>
                <w:rFonts w:ascii="Arial" w:hAnsi="Arial" w:cs="Arial"/>
                <w:lang w:val="en-GB"/>
              </w:rPr>
              <w:t>624</w:t>
            </w:r>
          </w:p>
          <w:p w14:paraId="16BFC6F4" w14:textId="32EB9C6D" w:rsidR="00D037D4" w:rsidRPr="00B81ED7" w:rsidRDefault="00D037D4" w:rsidP="001F4F5D">
            <w:pPr>
              <w:rPr>
                <w:rFonts w:ascii="Arial" w:hAnsi="Arial" w:cs="Arial"/>
                <w:lang w:val="en-GB"/>
              </w:rPr>
            </w:pPr>
          </w:p>
        </w:tc>
        <w:tc>
          <w:tcPr>
            <w:tcW w:w="2502" w:type="dxa"/>
            <w:gridSpan w:val="2"/>
            <w:shd w:val="clear" w:color="auto" w:fill="4F81BD" w:themeFill="accent1"/>
            <w:vAlign w:val="center"/>
          </w:tcPr>
          <w:p w14:paraId="7C056A12" w14:textId="133BBBCD" w:rsidR="00D037D4" w:rsidRPr="00B81ED7" w:rsidRDefault="00D037D4" w:rsidP="00D037D4">
            <w:pPr>
              <w:spacing w:before="120" w:after="120"/>
              <w:jc w:val="center"/>
              <w:rPr>
                <w:rFonts w:ascii="Arial" w:hAnsi="Arial" w:cs="Arial"/>
                <w:lang w:val="en-GB"/>
              </w:rPr>
            </w:pPr>
            <w:r w:rsidRPr="00B81ED7">
              <w:rPr>
                <w:rFonts w:ascii="Arial" w:hAnsi="Arial" w:cs="Arial"/>
                <w:lang w:val="en-GB"/>
              </w:rPr>
              <w:t>631</w:t>
            </w:r>
          </w:p>
        </w:tc>
      </w:tr>
      <w:tr w:rsidR="00D037D4" w:rsidRPr="004537C7" w14:paraId="24616683" w14:textId="77777777" w:rsidTr="00D037D4">
        <w:trPr>
          <w:trHeight w:val="451"/>
          <w:jc w:val="center"/>
        </w:trPr>
        <w:tc>
          <w:tcPr>
            <w:tcW w:w="2541" w:type="dxa"/>
            <w:vAlign w:val="center"/>
          </w:tcPr>
          <w:p w14:paraId="38192239" w14:textId="77777777" w:rsidR="00D037D4" w:rsidRPr="00B81ED7" w:rsidRDefault="00D037D4" w:rsidP="001F4F5D">
            <w:pPr>
              <w:rPr>
                <w:rFonts w:ascii="Arial" w:eastAsia="Times New Roman" w:hAnsi="Arial" w:cs="Arial"/>
                <w:lang w:val="en-GB" w:eastAsia="en-GB"/>
              </w:rPr>
            </w:pPr>
            <w:r w:rsidRPr="00B81ED7">
              <w:rPr>
                <w:rFonts w:ascii="Arial" w:eastAsia="Times New Roman" w:hAnsi="Arial" w:cs="Arial"/>
                <w:lang w:val="en-GB" w:eastAsia="en-GB"/>
              </w:rPr>
              <w:t>Access to Treatment or drugs</w:t>
            </w:r>
          </w:p>
        </w:tc>
        <w:tc>
          <w:tcPr>
            <w:tcW w:w="2416" w:type="dxa"/>
          </w:tcPr>
          <w:p w14:paraId="15B11CB2" w14:textId="77777777" w:rsidR="00D037D4" w:rsidRDefault="00D037D4" w:rsidP="00D037D4">
            <w:pPr>
              <w:jc w:val="center"/>
              <w:rPr>
                <w:rFonts w:ascii="Arial" w:hAnsi="Arial" w:cs="Arial"/>
                <w:lang w:val="en-GB"/>
              </w:rPr>
            </w:pPr>
          </w:p>
          <w:p w14:paraId="3742C6A4" w14:textId="09E4482A" w:rsidR="00D037D4" w:rsidRPr="00B81ED7" w:rsidRDefault="00D037D4" w:rsidP="00D037D4">
            <w:pPr>
              <w:jc w:val="center"/>
              <w:rPr>
                <w:rFonts w:ascii="Arial" w:hAnsi="Arial" w:cs="Arial"/>
                <w:lang w:val="en-GB"/>
              </w:rPr>
            </w:pPr>
            <w:r w:rsidRPr="00B81ED7">
              <w:rPr>
                <w:rFonts w:ascii="Arial" w:hAnsi="Arial" w:cs="Arial"/>
                <w:lang w:val="en-GB"/>
              </w:rPr>
              <w:t>15</w:t>
            </w:r>
          </w:p>
        </w:tc>
        <w:tc>
          <w:tcPr>
            <w:tcW w:w="2269" w:type="dxa"/>
            <w:vAlign w:val="center"/>
          </w:tcPr>
          <w:p w14:paraId="00ED5523" w14:textId="77777777" w:rsidR="00D037D4" w:rsidRDefault="00D037D4" w:rsidP="00D037D4">
            <w:pPr>
              <w:jc w:val="center"/>
              <w:rPr>
                <w:rFonts w:ascii="Arial" w:hAnsi="Arial" w:cs="Arial"/>
                <w:lang w:val="en-GB"/>
              </w:rPr>
            </w:pPr>
          </w:p>
          <w:p w14:paraId="6C1230FC" w14:textId="46A69D4C" w:rsidR="00D037D4" w:rsidRPr="00B81ED7" w:rsidRDefault="00D037D4" w:rsidP="00D037D4">
            <w:pPr>
              <w:jc w:val="center"/>
              <w:rPr>
                <w:rFonts w:ascii="Arial" w:hAnsi="Arial" w:cs="Arial"/>
                <w:lang w:val="en-GB"/>
              </w:rPr>
            </w:pPr>
            <w:r w:rsidRPr="00B81ED7">
              <w:rPr>
                <w:rFonts w:ascii="Arial" w:hAnsi="Arial" w:cs="Arial"/>
                <w:lang w:val="en-GB"/>
              </w:rPr>
              <w:t>25</w:t>
            </w:r>
          </w:p>
        </w:tc>
        <w:tc>
          <w:tcPr>
            <w:tcW w:w="2502" w:type="dxa"/>
            <w:gridSpan w:val="2"/>
            <w:vAlign w:val="center"/>
          </w:tcPr>
          <w:p w14:paraId="1BD70ED9" w14:textId="11B1CF41" w:rsidR="00D037D4" w:rsidRPr="00B81ED7" w:rsidRDefault="00D037D4" w:rsidP="00D037D4">
            <w:pPr>
              <w:spacing w:before="120" w:after="120"/>
              <w:jc w:val="center"/>
              <w:rPr>
                <w:rFonts w:ascii="Arial" w:hAnsi="Arial" w:cs="Arial"/>
                <w:lang w:val="en-GB"/>
              </w:rPr>
            </w:pPr>
            <w:r w:rsidRPr="00B81ED7">
              <w:rPr>
                <w:rFonts w:ascii="Arial" w:hAnsi="Arial" w:cs="Arial"/>
                <w:lang w:val="en-GB"/>
              </w:rPr>
              <w:t>33</w:t>
            </w:r>
          </w:p>
        </w:tc>
      </w:tr>
      <w:tr w:rsidR="00D037D4" w:rsidRPr="004537C7" w14:paraId="605D290C" w14:textId="77777777" w:rsidTr="00B86C4E">
        <w:trPr>
          <w:trHeight w:val="567"/>
          <w:jc w:val="center"/>
        </w:trPr>
        <w:tc>
          <w:tcPr>
            <w:tcW w:w="2541" w:type="dxa"/>
            <w:vAlign w:val="center"/>
          </w:tcPr>
          <w:p w14:paraId="47A67499" w14:textId="77777777" w:rsidR="00D037D4" w:rsidRPr="00B81ED7" w:rsidRDefault="00D037D4" w:rsidP="001F4F5D">
            <w:pPr>
              <w:rPr>
                <w:rFonts w:ascii="Arial" w:eastAsia="Times New Roman" w:hAnsi="Arial" w:cs="Arial"/>
                <w:lang w:val="en-GB" w:eastAsia="en-GB"/>
              </w:rPr>
            </w:pPr>
            <w:r w:rsidRPr="00B81ED7">
              <w:rPr>
                <w:rFonts w:ascii="Arial" w:eastAsia="Times New Roman" w:hAnsi="Arial" w:cs="Arial"/>
                <w:lang w:val="en-GB" w:eastAsia="en-GB"/>
              </w:rPr>
              <w:t>Admissions, Discharge and Transfers</w:t>
            </w:r>
          </w:p>
        </w:tc>
        <w:tc>
          <w:tcPr>
            <w:tcW w:w="2416" w:type="dxa"/>
          </w:tcPr>
          <w:p w14:paraId="357194F2" w14:textId="77777777" w:rsidR="00D037D4" w:rsidRDefault="00D037D4" w:rsidP="00D037D4">
            <w:pPr>
              <w:jc w:val="center"/>
              <w:rPr>
                <w:rFonts w:ascii="Arial" w:hAnsi="Arial" w:cs="Arial"/>
                <w:lang w:val="en-GB"/>
              </w:rPr>
            </w:pPr>
          </w:p>
          <w:p w14:paraId="57D3F696" w14:textId="7DBC2202" w:rsidR="00D037D4" w:rsidRPr="00B81ED7" w:rsidRDefault="00D037D4" w:rsidP="00D037D4">
            <w:pPr>
              <w:jc w:val="center"/>
              <w:rPr>
                <w:rFonts w:ascii="Arial" w:hAnsi="Arial" w:cs="Arial"/>
                <w:lang w:val="en-GB"/>
              </w:rPr>
            </w:pPr>
            <w:r w:rsidRPr="00B81ED7">
              <w:rPr>
                <w:rFonts w:ascii="Arial" w:hAnsi="Arial" w:cs="Arial"/>
                <w:lang w:val="en-GB"/>
              </w:rPr>
              <w:t>89</w:t>
            </w:r>
          </w:p>
        </w:tc>
        <w:tc>
          <w:tcPr>
            <w:tcW w:w="2269" w:type="dxa"/>
            <w:vAlign w:val="center"/>
          </w:tcPr>
          <w:p w14:paraId="1C0DC1CA" w14:textId="77777777" w:rsidR="00D037D4" w:rsidRDefault="00D037D4" w:rsidP="00D037D4">
            <w:pPr>
              <w:jc w:val="center"/>
              <w:rPr>
                <w:rFonts w:ascii="Arial" w:hAnsi="Arial" w:cs="Arial"/>
                <w:lang w:val="en-GB"/>
              </w:rPr>
            </w:pPr>
          </w:p>
          <w:p w14:paraId="48C6E4C5" w14:textId="2C5A3771" w:rsidR="00D037D4" w:rsidRPr="00B81ED7" w:rsidRDefault="00D037D4" w:rsidP="00D037D4">
            <w:pPr>
              <w:jc w:val="center"/>
              <w:rPr>
                <w:rFonts w:ascii="Arial" w:hAnsi="Arial" w:cs="Arial"/>
                <w:lang w:val="en-GB"/>
              </w:rPr>
            </w:pPr>
            <w:r w:rsidRPr="00B81ED7">
              <w:rPr>
                <w:rFonts w:ascii="Arial" w:hAnsi="Arial" w:cs="Arial"/>
                <w:lang w:val="en-GB"/>
              </w:rPr>
              <w:t>126</w:t>
            </w:r>
          </w:p>
          <w:p w14:paraId="3096C261" w14:textId="11432E77" w:rsidR="00D037D4" w:rsidRPr="00B81ED7" w:rsidRDefault="00D037D4" w:rsidP="001F4F5D">
            <w:pPr>
              <w:rPr>
                <w:rFonts w:ascii="Arial" w:hAnsi="Arial" w:cs="Arial"/>
                <w:lang w:val="en-GB"/>
              </w:rPr>
            </w:pPr>
          </w:p>
        </w:tc>
        <w:tc>
          <w:tcPr>
            <w:tcW w:w="2502" w:type="dxa"/>
            <w:gridSpan w:val="2"/>
            <w:vAlign w:val="center"/>
          </w:tcPr>
          <w:p w14:paraId="372D4FDA" w14:textId="28B680AA" w:rsidR="00D037D4" w:rsidRPr="00B81ED7" w:rsidRDefault="00D037D4" w:rsidP="00D037D4">
            <w:pPr>
              <w:spacing w:before="120" w:after="120"/>
              <w:jc w:val="center"/>
              <w:rPr>
                <w:rFonts w:ascii="Arial" w:hAnsi="Arial" w:cs="Arial"/>
                <w:lang w:val="en-GB"/>
              </w:rPr>
            </w:pPr>
            <w:r w:rsidRPr="00B81ED7">
              <w:rPr>
                <w:rFonts w:ascii="Arial" w:hAnsi="Arial" w:cs="Arial"/>
                <w:lang w:val="en-GB"/>
              </w:rPr>
              <w:t>168</w:t>
            </w:r>
          </w:p>
        </w:tc>
      </w:tr>
      <w:tr w:rsidR="00D037D4" w:rsidRPr="004537C7" w14:paraId="5DC52BC3" w14:textId="77777777" w:rsidTr="00320B0D">
        <w:trPr>
          <w:trHeight w:val="567"/>
          <w:jc w:val="center"/>
        </w:trPr>
        <w:tc>
          <w:tcPr>
            <w:tcW w:w="2541" w:type="dxa"/>
            <w:shd w:val="clear" w:color="auto" w:fill="4F81BD" w:themeFill="accent1"/>
            <w:vAlign w:val="center"/>
          </w:tcPr>
          <w:p w14:paraId="70FC9CCE" w14:textId="77777777" w:rsidR="00D037D4" w:rsidRPr="00B81ED7" w:rsidRDefault="00D037D4" w:rsidP="001F4F5D">
            <w:pPr>
              <w:rPr>
                <w:rFonts w:ascii="Arial" w:eastAsia="Times New Roman" w:hAnsi="Arial" w:cs="Arial"/>
                <w:lang w:val="en-GB" w:eastAsia="en-GB"/>
              </w:rPr>
            </w:pPr>
            <w:r w:rsidRPr="00B81ED7">
              <w:rPr>
                <w:rFonts w:ascii="Arial" w:eastAsia="Times New Roman" w:hAnsi="Arial" w:cs="Arial"/>
                <w:lang w:val="en-GB" w:eastAsia="en-GB"/>
              </w:rPr>
              <w:t>Appointments</w:t>
            </w:r>
          </w:p>
        </w:tc>
        <w:tc>
          <w:tcPr>
            <w:tcW w:w="2416" w:type="dxa"/>
            <w:shd w:val="clear" w:color="auto" w:fill="4F81BD" w:themeFill="accent1"/>
          </w:tcPr>
          <w:p w14:paraId="261876CF" w14:textId="77777777" w:rsidR="00D037D4" w:rsidRPr="00B81ED7" w:rsidRDefault="00D037D4" w:rsidP="00D037D4">
            <w:pPr>
              <w:jc w:val="center"/>
              <w:rPr>
                <w:rFonts w:ascii="Arial" w:hAnsi="Arial" w:cs="Arial"/>
                <w:lang w:val="en-GB"/>
              </w:rPr>
            </w:pPr>
            <w:r w:rsidRPr="00B81ED7">
              <w:rPr>
                <w:rFonts w:ascii="Arial" w:hAnsi="Arial" w:cs="Arial"/>
                <w:lang w:val="en-GB"/>
              </w:rPr>
              <w:t>166</w:t>
            </w:r>
          </w:p>
        </w:tc>
        <w:tc>
          <w:tcPr>
            <w:tcW w:w="2269" w:type="dxa"/>
            <w:shd w:val="clear" w:color="auto" w:fill="4F81BD" w:themeFill="accent1"/>
            <w:vAlign w:val="center"/>
          </w:tcPr>
          <w:p w14:paraId="616E9BF6" w14:textId="77777777" w:rsidR="00D037D4" w:rsidRPr="00B81ED7" w:rsidRDefault="00D037D4" w:rsidP="00D037D4">
            <w:pPr>
              <w:jc w:val="center"/>
              <w:rPr>
                <w:rFonts w:ascii="Arial" w:hAnsi="Arial" w:cs="Arial"/>
                <w:lang w:val="en-GB"/>
              </w:rPr>
            </w:pPr>
            <w:r w:rsidRPr="00B81ED7">
              <w:rPr>
                <w:rFonts w:ascii="Arial" w:hAnsi="Arial" w:cs="Arial"/>
                <w:lang w:val="en-GB"/>
              </w:rPr>
              <w:t>172</w:t>
            </w:r>
          </w:p>
          <w:p w14:paraId="7DF54B1D" w14:textId="6B622081" w:rsidR="00D037D4" w:rsidRPr="00B81ED7" w:rsidRDefault="00D037D4" w:rsidP="001F4F5D">
            <w:pPr>
              <w:rPr>
                <w:rFonts w:ascii="Arial" w:hAnsi="Arial" w:cs="Arial"/>
                <w:lang w:val="en-GB"/>
              </w:rPr>
            </w:pPr>
          </w:p>
        </w:tc>
        <w:tc>
          <w:tcPr>
            <w:tcW w:w="2502" w:type="dxa"/>
            <w:gridSpan w:val="2"/>
            <w:shd w:val="clear" w:color="auto" w:fill="4F81BD" w:themeFill="accent1"/>
            <w:vAlign w:val="center"/>
          </w:tcPr>
          <w:p w14:paraId="76380282" w14:textId="334965AC" w:rsidR="00D037D4" w:rsidRPr="00B81ED7" w:rsidRDefault="00D037D4" w:rsidP="00D037D4">
            <w:pPr>
              <w:spacing w:before="120" w:after="120"/>
              <w:jc w:val="center"/>
              <w:rPr>
                <w:rFonts w:ascii="Arial" w:hAnsi="Arial" w:cs="Arial"/>
                <w:lang w:val="en-GB"/>
              </w:rPr>
            </w:pPr>
            <w:r w:rsidRPr="00B81ED7">
              <w:rPr>
                <w:rFonts w:ascii="Arial" w:hAnsi="Arial" w:cs="Arial"/>
                <w:lang w:val="en-GB"/>
              </w:rPr>
              <w:t>176</w:t>
            </w:r>
          </w:p>
        </w:tc>
      </w:tr>
      <w:tr w:rsidR="00D037D4" w:rsidRPr="004537C7" w14:paraId="6C00AE8D" w14:textId="77777777" w:rsidTr="002E1AC8">
        <w:trPr>
          <w:trHeight w:val="567"/>
          <w:jc w:val="center"/>
        </w:trPr>
        <w:tc>
          <w:tcPr>
            <w:tcW w:w="2541" w:type="dxa"/>
            <w:shd w:val="clear" w:color="auto" w:fill="4F81BD" w:themeFill="accent1"/>
            <w:vAlign w:val="center"/>
          </w:tcPr>
          <w:p w14:paraId="702CBF50" w14:textId="77777777" w:rsidR="00D037D4" w:rsidRPr="00B81ED7" w:rsidRDefault="00D037D4" w:rsidP="001F4F5D">
            <w:pPr>
              <w:rPr>
                <w:rFonts w:ascii="Arial" w:eastAsia="Times New Roman" w:hAnsi="Arial" w:cs="Arial"/>
                <w:lang w:val="en-GB" w:eastAsia="en-GB"/>
              </w:rPr>
            </w:pPr>
            <w:r w:rsidRPr="00B81ED7">
              <w:rPr>
                <w:rFonts w:ascii="Arial" w:eastAsia="Times New Roman" w:hAnsi="Arial" w:cs="Arial"/>
                <w:lang w:val="en-GB" w:eastAsia="en-GB"/>
              </w:rPr>
              <w:t>Communications</w:t>
            </w:r>
          </w:p>
        </w:tc>
        <w:tc>
          <w:tcPr>
            <w:tcW w:w="2416" w:type="dxa"/>
            <w:shd w:val="clear" w:color="auto" w:fill="4F81BD" w:themeFill="accent1"/>
          </w:tcPr>
          <w:p w14:paraId="7FB45A58" w14:textId="77777777" w:rsidR="00D037D4" w:rsidRPr="00B81ED7" w:rsidRDefault="00D037D4" w:rsidP="00D037D4">
            <w:pPr>
              <w:jc w:val="center"/>
              <w:rPr>
                <w:rFonts w:ascii="Arial" w:hAnsi="Arial" w:cs="Arial"/>
                <w:lang w:val="en-GB"/>
              </w:rPr>
            </w:pPr>
            <w:r w:rsidRPr="00B81ED7">
              <w:rPr>
                <w:rFonts w:ascii="Arial" w:hAnsi="Arial" w:cs="Arial"/>
                <w:lang w:val="en-GB"/>
              </w:rPr>
              <w:t>444</w:t>
            </w:r>
          </w:p>
        </w:tc>
        <w:tc>
          <w:tcPr>
            <w:tcW w:w="2269" w:type="dxa"/>
            <w:shd w:val="clear" w:color="auto" w:fill="4F81BD" w:themeFill="accent1"/>
            <w:vAlign w:val="center"/>
          </w:tcPr>
          <w:p w14:paraId="108888A7" w14:textId="77777777" w:rsidR="00D037D4" w:rsidRPr="00B81ED7" w:rsidRDefault="00D037D4" w:rsidP="00D037D4">
            <w:pPr>
              <w:jc w:val="center"/>
              <w:rPr>
                <w:rFonts w:ascii="Arial" w:hAnsi="Arial" w:cs="Arial"/>
                <w:lang w:val="en-GB"/>
              </w:rPr>
            </w:pPr>
            <w:r w:rsidRPr="00B81ED7">
              <w:rPr>
                <w:rFonts w:ascii="Arial" w:hAnsi="Arial" w:cs="Arial"/>
                <w:lang w:val="en-GB"/>
              </w:rPr>
              <w:t>444</w:t>
            </w:r>
          </w:p>
          <w:p w14:paraId="6487A8FA" w14:textId="60EF3BB1" w:rsidR="00D037D4" w:rsidRPr="00B81ED7" w:rsidRDefault="00D037D4" w:rsidP="001F4F5D">
            <w:pPr>
              <w:rPr>
                <w:rFonts w:ascii="Arial" w:hAnsi="Arial" w:cs="Arial"/>
                <w:lang w:val="en-GB"/>
              </w:rPr>
            </w:pPr>
          </w:p>
        </w:tc>
        <w:tc>
          <w:tcPr>
            <w:tcW w:w="2502" w:type="dxa"/>
            <w:gridSpan w:val="2"/>
            <w:shd w:val="clear" w:color="auto" w:fill="4F81BD" w:themeFill="accent1"/>
            <w:vAlign w:val="center"/>
          </w:tcPr>
          <w:p w14:paraId="627635F4" w14:textId="1478BC39" w:rsidR="00D037D4" w:rsidRPr="00B81ED7" w:rsidRDefault="00D037D4" w:rsidP="00D037D4">
            <w:pPr>
              <w:spacing w:before="120" w:after="120"/>
              <w:jc w:val="center"/>
              <w:rPr>
                <w:rFonts w:ascii="Arial" w:hAnsi="Arial" w:cs="Arial"/>
                <w:lang w:val="en-GB"/>
              </w:rPr>
            </w:pPr>
            <w:r w:rsidRPr="00B81ED7">
              <w:rPr>
                <w:rFonts w:ascii="Arial" w:hAnsi="Arial" w:cs="Arial"/>
                <w:lang w:val="en-GB"/>
              </w:rPr>
              <w:t>451</w:t>
            </w:r>
          </w:p>
        </w:tc>
      </w:tr>
      <w:tr w:rsidR="00D037D4" w:rsidRPr="004537C7" w14:paraId="2FF2FF9F" w14:textId="77777777" w:rsidTr="00697C13">
        <w:trPr>
          <w:trHeight w:val="567"/>
          <w:jc w:val="center"/>
        </w:trPr>
        <w:tc>
          <w:tcPr>
            <w:tcW w:w="2541" w:type="dxa"/>
            <w:vAlign w:val="center"/>
          </w:tcPr>
          <w:p w14:paraId="71353A0D" w14:textId="77777777" w:rsidR="00D037D4" w:rsidRPr="00B81ED7" w:rsidRDefault="00D037D4" w:rsidP="001F4F5D">
            <w:pPr>
              <w:rPr>
                <w:rFonts w:ascii="Arial" w:eastAsia="Times New Roman" w:hAnsi="Arial" w:cs="Arial"/>
                <w:lang w:val="en-GB" w:eastAsia="en-GB"/>
              </w:rPr>
            </w:pPr>
            <w:r w:rsidRPr="00B81ED7">
              <w:rPr>
                <w:rFonts w:ascii="Arial" w:eastAsia="Times New Roman" w:hAnsi="Arial" w:cs="Arial"/>
                <w:lang w:val="en-GB" w:eastAsia="en-GB"/>
              </w:rPr>
              <w:t>Consent to treatment</w:t>
            </w:r>
          </w:p>
        </w:tc>
        <w:tc>
          <w:tcPr>
            <w:tcW w:w="2416" w:type="dxa"/>
          </w:tcPr>
          <w:p w14:paraId="2200F50B" w14:textId="77777777" w:rsidR="00D037D4" w:rsidRPr="00B81ED7" w:rsidRDefault="00D037D4" w:rsidP="00D037D4">
            <w:pPr>
              <w:jc w:val="center"/>
              <w:rPr>
                <w:rFonts w:ascii="Arial" w:hAnsi="Arial" w:cs="Arial"/>
                <w:lang w:val="en-GB"/>
              </w:rPr>
            </w:pPr>
            <w:r w:rsidRPr="00B81ED7">
              <w:rPr>
                <w:rFonts w:ascii="Arial" w:hAnsi="Arial" w:cs="Arial"/>
                <w:lang w:val="en-GB"/>
              </w:rPr>
              <w:t>7</w:t>
            </w:r>
          </w:p>
        </w:tc>
        <w:tc>
          <w:tcPr>
            <w:tcW w:w="2269" w:type="dxa"/>
            <w:vAlign w:val="center"/>
          </w:tcPr>
          <w:p w14:paraId="7358C53C" w14:textId="77777777" w:rsidR="00D037D4" w:rsidRPr="00B81ED7" w:rsidRDefault="00D037D4" w:rsidP="00D037D4">
            <w:pPr>
              <w:jc w:val="center"/>
              <w:rPr>
                <w:rFonts w:ascii="Arial" w:hAnsi="Arial" w:cs="Arial"/>
                <w:lang w:val="en-GB"/>
              </w:rPr>
            </w:pPr>
            <w:r w:rsidRPr="00B81ED7">
              <w:rPr>
                <w:rFonts w:ascii="Arial" w:hAnsi="Arial" w:cs="Arial"/>
                <w:lang w:val="en-GB"/>
              </w:rPr>
              <w:t>8</w:t>
            </w:r>
          </w:p>
          <w:p w14:paraId="44CA9302" w14:textId="2F938FE6" w:rsidR="00D037D4" w:rsidRPr="00B81ED7" w:rsidRDefault="00D037D4" w:rsidP="00D037D4">
            <w:pPr>
              <w:jc w:val="center"/>
              <w:rPr>
                <w:rFonts w:ascii="Arial" w:hAnsi="Arial" w:cs="Arial"/>
                <w:lang w:val="en-GB"/>
              </w:rPr>
            </w:pPr>
          </w:p>
        </w:tc>
        <w:tc>
          <w:tcPr>
            <w:tcW w:w="2502" w:type="dxa"/>
            <w:gridSpan w:val="2"/>
            <w:vAlign w:val="center"/>
          </w:tcPr>
          <w:p w14:paraId="1E5EA52A" w14:textId="3B8F7DBB" w:rsidR="00D037D4" w:rsidRPr="00B81ED7" w:rsidRDefault="00D037D4" w:rsidP="00D037D4">
            <w:pPr>
              <w:spacing w:before="120" w:after="120"/>
              <w:jc w:val="center"/>
              <w:rPr>
                <w:rFonts w:ascii="Arial" w:hAnsi="Arial" w:cs="Arial"/>
                <w:lang w:val="en-GB"/>
              </w:rPr>
            </w:pPr>
            <w:r w:rsidRPr="00B81ED7">
              <w:rPr>
                <w:rFonts w:ascii="Arial" w:hAnsi="Arial" w:cs="Arial"/>
                <w:lang w:val="en-GB"/>
              </w:rPr>
              <w:t>5</w:t>
            </w:r>
          </w:p>
        </w:tc>
      </w:tr>
      <w:tr w:rsidR="00D037D4" w:rsidRPr="004537C7" w14:paraId="63D40F86" w14:textId="77777777" w:rsidTr="00902BEC">
        <w:trPr>
          <w:trHeight w:val="567"/>
          <w:jc w:val="center"/>
        </w:trPr>
        <w:tc>
          <w:tcPr>
            <w:tcW w:w="2541" w:type="dxa"/>
            <w:vAlign w:val="center"/>
          </w:tcPr>
          <w:p w14:paraId="1845358E" w14:textId="77777777" w:rsidR="00D037D4" w:rsidRPr="00B81ED7" w:rsidRDefault="00D037D4" w:rsidP="001F4F5D">
            <w:pPr>
              <w:rPr>
                <w:rFonts w:ascii="Arial" w:eastAsia="Times New Roman" w:hAnsi="Arial" w:cs="Arial"/>
                <w:lang w:val="en-GB" w:eastAsia="en-GB"/>
              </w:rPr>
            </w:pPr>
            <w:r w:rsidRPr="00B81ED7">
              <w:rPr>
                <w:rFonts w:ascii="Arial" w:eastAsia="Times New Roman" w:hAnsi="Arial" w:cs="Arial"/>
                <w:lang w:val="en-GB" w:eastAsia="en-GB"/>
              </w:rPr>
              <w:t>End of Life care</w:t>
            </w:r>
          </w:p>
        </w:tc>
        <w:tc>
          <w:tcPr>
            <w:tcW w:w="2416" w:type="dxa"/>
          </w:tcPr>
          <w:p w14:paraId="3224444E" w14:textId="77777777" w:rsidR="00D037D4" w:rsidRPr="00B81ED7" w:rsidRDefault="00D037D4" w:rsidP="00D037D4">
            <w:pPr>
              <w:jc w:val="center"/>
              <w:rPr>
                <w:rFonts w:ascii="Arial" w:hAnsi="Arial" w:cs="Arial"/>
                <w:lang w:val="en-GB"/>
              </w:rPr>
            </w:pPr>
            <w:r w:rsidRPr="00B81ED7">
              <w:rPr>
                <w:rFonts w:ascii="Arial" w:hAnsi="Arial" w:cs="Arial"/>
                <w:lang w:val="en-GB"/>
              </w:rPr>
              <w:t>12</w:t>
            </w:r>
          </w:p>
        </w:tc>
        <w:tc>
          <w:tcPr>
            <w:tcW w:w="2269" w:type="dxa"/>
            <w:vAlign w:val="center"/>
          </w:tcPr>
          <w:p w14:paraId="7E7CCDED" w14:textId="77777777" w:rsidR="00D037D4" w:rsidRPr="00B81ED7" w:rsidRDefault="00D037D4" w:rsidP="00D037D4">
            <w:pPr>
              <w:jc w:val="center"/>
              <w:rPr>
                <w:rFonts w:ascii="Arial" w:hAnsi="Arial" w:cs="Arial"/>
                <w:lang w:val="en-GB"/>
              </w:rPr>
            </w:pPr>
            <w:r w:rsidRPr="00B81ED7">
              <w:rPr>
                <w:rFonts w:ascii="Arial" w:hAnsi="Arial" w:cs="Arial"/>
                <w:lang w:val="en-GB"/>
              </w:rPr>
              <w:t>9</w:t>
            </w:r>
          </w:p>
          <w:p w14:paraId="76D10568" w14:textId="14F4FAC1" w:rsidR="00D037D4" w:rsidRPr="00B81ED7" w:rsidRDefault="00D037D4" w:rsidP="001F4F5D">
            <w:pPr>
              <w:rPr>
                <w:rFonts w:ascii="Arial" w:hAnsi="Arial" w:cs="Arial"/>
                <w:lang w:val="en-GB"/>
              </w:rPr>
            </w:pPr>
          </w:p>
        </w:tc>
        <w:tc>
          <w:tcPr>
            <w:tcW w:w="2502" w:type="dxa"/>
            <w:gridSpan w:val="2"/>
            <w:vAlign w:val="center"/>
          </w:tcPr>
          <w:p w14:paraId="0730525B" w14:textId="430B5DEC" w:rsidR="00D037D4" w:rsidRPr="00B81ED7" w:rsidRDefault="00D037D4" w:rsidP="00D037D4">
            <w:pPr>
              <w:spacing w:before="120" w:after="120"/>
              <w:jc w:val="center"/>
              <w:rPr>
                <w:rFonts w:ascii="Arial" w:hAnsi="Arial" w:cs="Arial"/>
                <w:lang w:val="en-GB"/>
              </w:rPr>
            </w:pPr>
            <w:r w:rsidRPr="00B81ED7">
              <w:rPr>
                <w:rFonts w:ascii="Arial" w:hAnsi="Arial" w:cs="Arial"/>
                <w:lang w:val="en-GB"/>
              </w:rPr>
              <w:t>14</w:t>
            </w:r>
          </w:p>
        </w:tc>
      </w:tr>
      <w:tr w:rsidR="00D037D4" w:rsidRPr="004537C7" w14:paraId="2A471A4E" w14:textId="77777777" w:rsidTr="00C40EDE">
        <w:trPr>
          <w:trHeight w:val="567"/>
          <w:jc w:val="center"/>
        </w:trPr>
        <w:tc>
          <w:tcPr>
            <w:tcW w:w="2541" w:type="dxa"/>
            <w:vAlign w:val="center"/>
          </w:tcPr>
          <w:p w14:paraId="596476CC" w14:textId="77777777" w:rsidR="00D037D4" w:rsidRPr="00B81ED7" w:rsidRDefault="00D037D4" w:rsidP="001F4F5D">
            <w:pPr>
              <w:rPr>
                <w:rFonts w:ascii="Arial" w:eastAsia="Times New Roman" w:hAnsi="Arial" w:cs="Arial"/>
                <w:lang w:val="en-GB" w:eastAsia="en-GB"/>
              </w:rPr>
            </w:pPr>
            <w:r w:rsidRPr="00B81ED7">
              <w:rPr>
                <w:rFonts w:ascii="Arial" w:eastAsia="Times New Roman" w:hAnsi="Arial" w:cs="Arial"/>
                <w:lang w:val="en-GB" w:eastAsia="en-GB"/>
              </w:rPr>
              <w:t>Facilities</w:t>
            </w:r>
          </w:p>
        </w:tc>
        <w:tc>
          <w:tcPr>
            <w:tcW w:w="2416" w:type="dxa"/>
          </w:tcPr>
          <w:p w14:paraId="7E2E5842" w14:textId="77777777" w:rsidR="00D037D4" w:rsidRPr="00B81ED7" w:rsidRDefault="00D037D4" w:rsidP="00D037D4">
            <w:pPr>
              <w:jc w:val="center"/>
              <w:rPr>
                <w:rFonts w:ascii="Arial" w:hAnsi="Arial" w:cs="Arial"/>
                <w:lang w:val="en-GB"/>
              </w:rPr>
            </w:pPr>
            <w:r w:rsidRPr="00B81ED7">
              <w:rPr>
                <w:rFonts w:ascii="Arial" w:hAnsi="Arial" w:cs="Arial"/>
                <w:lang w:val="en-GB"/>
              </w:rPr>
              <w:t>49</w:t>
            </w:r>
          </w:p>
        </w:tc>
        <w:tc>
          <w:tcPr>
            <w:tcW w:w="2269" w:type="dxa"/>
            <w:vAlign w:val="center"/>
          </w:tcPr>
          <w:p w14:paraId="1E2E732C" w14:textId="77777777" w:rsidR="00D037D4" w:rsidRPr="00B81ED7" w:rsidRDefault="00D037D4" w:rsidP="00D037D4">
            <w:pPr>
              <w:jc w:val="center"/>
              <w:rPr>
                <w:rFonts w:ascii="Arial" w:hAnsi="Arial" w:cs="Arial"/>
                <w:lang w:val="en-GB"/>
              </w:rPr>
            </w:pPr>
            <w:r w:rsidRPr="00B81ED7">
              <w:rPr>
                <w:rFonts w:ascii="Arial" w:hAnsi="Arial" w:cs="Arial"/>
                <w:lang w:val="en-GB"/>
              </w:rPr>
              <w:t>67</w:t>
            </w:r>
          </w:p>
          <w:p w14:paraId="469B04DC" w14:textId="770533BA" w:rsidR="00D037D4" w:rsidRPr="00B81ED7" w:rsidRDefault="00D037D4" w:rsidP="001F4F5D">
            <w:pPr>
              <w:rPr>
                <w:rFonts w:ascii="Arial" w:hAnsi="Arial" w:cs="Arial"/>
                <w:lang w:val="en-GB"/>
              </w:rPr>
            </w:pPr>
          </w:p>
        </w:tc>
        <w:tc>
          <w:tcPr>
            <w:tcW w:w="2502" w:type="dxa"/>
            <w:gridSpan w:val="2"/>
            <w:vAlign w:val="center"/>
          </w:tcPr>
          <w:p w14:paraId="24068C75" w14:textId="0F098AC2" w:rsidR="00D037D4" w:rsidRPr="00B81ED7" w:rsidRDefault="00D037D4" w:rsidP="00D037D4">
            <w:pPr>
              <w:spacing w:before="120" w:after="120"/>
              <w:jc w:val="center"/>
              <w:rPr>
                <w:rFonts w:ascii="Arial" w:hAnsi="Arial" w:cs="Arial"/>
                <w:lang w:val="en-GB"/>
              </w:rPr>
            </w:pPr>
            <w:r w:rsidRPr="00B81ED7">
              <w:rPr>
                <w:rFonts w:ascii="Arial" w:hAnsi="Arial" w:cs="Arial"/>
                <w:lang w:val="en-GB"/>
              </w:rPr>
              <w:t>62</w:t>
            </w:r>
          </w:p>
        </w:tc>
      </w:tr>
      <w:tr w:rsidR="00D037D4" w:rsidRPr="004537C7" w14:paraId="09918A9E" w14:textId="77777777" w:rsidTr="008B3FB2">
        <w:trPr>
          <w:trHeight w:val="567"/>
          <w:jc w:val="center"/>
        </w:trPr>
        <w:tc>
          <w:tcPr>
            <w:tcW w:w="2541" w:type="dxa"/>
            <w:vAlign w:val="center"/>
          </w:tcPr>
          <w:p w14:paraId="04C8E5DA" w14:textId="77777777" w:rsidR="00D037D4" w:rsidRPr="00B81ED7" w:rsidRDefault="00D037D4" w:rsidP="001F4F5D">
            <w:pPr>
              <w:rPr>
                <w:rFonts w:ascii="Arial" w:eastAsia="Times New Roman" w:hAnsi="Arial" w:cs="Arial"/>
                <w:lang w:val="en-GB" w:eastAsia="en-GB"/>
              </w:rPr>
            </w:pPr>
            <w:r w:rsidRPr="00B81ED7">
              <w:rPr>
                <w:rFonts w:ascii="Arial" w:eastAsia="Times New Roman" w:hAnsi="Arial" w:cs="Arial"/>
                <w:lang w:val="en-GB" w:eastAsia="en-GB"/>
              </w:rPr>
              <w:lastRenderedPageBreak/>
              <w:t>Integrated care</w:t>
            </w:r>
          </w:p>
        </w:tc>
        <w:tc>
          <w:tcPr>
            <w:tcW w:w="2416" w:type="dxa"/>
          </w:tcPr>
          <w:p w14:paraId="2A26828F" w14:textId="77777777" w:rsidR="00D037D4" w:rsidRPr="00B81ED7" w:rsidRDefault="00D037D4" w:rsidP="00D037D4">
            <w:pPr>
              <w:jc w:val="center"/>
              <w:rPr>
                <w:rFonts w:ascii="Arial" w:hAnsi="Arial" w:cs="Arial"/>
                <w:lang w:val="en-GB"/>
              </w:rPr>
            </w:pPr>
            <w:r w:rsidRPr="00B81ED7">
              <w:rPr>
                <w:rFonts w:ascii="Arial" w:hAnsi="Arial" w:cs="Arial"/>
                <w:lang w:val="en-GB"/>
              </w:rPr>
              <w:t>0</w:t>
            </w:r>
          </w:p>
        </w:tc>
        <w:tc>
          <w:tcPr>
            <w:tcW w:w="2269" w:type="dxa"/>
            <w:vAlign w:val="center"/>
          </w:tcPr>
          <w:p w14:paraId="5F1557EA" w14:textId="77777777" w:rsidR="00D037D4" w:rsidRPr="00B81ED7" w:rsidRDefault="00D037D4" w:rsidP="00D037D4">
            <w:pPr>
              <w:jc w:val="center"/>
              <w:rPr>
                <w:rFonts w:ascii="Arial" w:hAnsi="Arial" w:cs="Arial"/>
                <w:lang w:val="en-GB"/>
              </w:rPr>
            </w:pPr>
            <w:r w:rsidRPr="00B81ED7">
              <w:rPr>
                <w:rFonts w:ascii="Arial" w:hAnsi="Arial" w:cs="Arial"/>
                <w:lang w:val="en-GB"/>
              </w:rPr>
              <w:t>3</w:t>
            </w:r>
          </w:p>
          <w:p w14:paraId="115EF40F" w14:textId="50DA9E93" w:rsidR="00D037D4" w:rsidRPr="00B81ED7" w:rsidRDefault="00D037D4" w:rsidP="00D037D4">
            <w:pPr>
              <w:jc w:val="center"/>
              <w:rPr>
                <w:rFonts w:ascii="Arial" w:hAnsi="Arial" w:cs="Arial"/>
                <w:lang w:val="en-GB"/>
              </w:rPr>
            </w:pPr>
          </w:p>
        </w:tc>
        <w:tc>
          <w:tcPr>
            <w:tcW w:w="2502" w:type="dxa"/>
            <w:gridSpan w:val="2"/>
            <w:vAlign w:val="center"/>
          </w:tcPr>
          <w:p w14:paraId="712A948B" w14:textId="6180DF33" w:rsidR="00D037D4" w:rsidRPr="00B81ED7" w:rsidRDefault="00D037D4" w:rsidP="00D037D4">
            <w:pPr>
              <w:spacing w:before="120" w:after="120"/>
              <w:jc w:val="center"/>
              <w:rPr>
                <w:rFonts w:ascii="Arial" w:hAnsi="Arial" w:cs="Arial"/>
                <w:lang w:val="en-GB"/>
              </w:rPr>
            </w:pPr>
            <w:r w:rsidRPr="00B81ED7">
              <w:rPr>
                <w:rFonts w:ascii="Arial" w:hAnsi="Arial" w:cs="Arial"/>
                <w:lang w:val="en-GB"/>
              </w:rPr>
              <w:t>1</w:t>
            </w:r>
          </w:p>
        </w:tc>
      </w:tr>
      <w:tr w:rsidR="00D037D4" w:rsidRPr="004537C7" w14:paraId="0FE062F8" w14:textId="77777777" w:rsidTr="00E776B8">
        <w:trPr>
          <w:trHeight w:val="567"/>
          <w:jc w:val="center"/>
        </w:trPr>
        <w:tc>
          <w:tcPr>
            <w:tcW w:w="2541" w:type="dxa"/>
            <w:shd w:val="clear" w:color="auto" w:fill="4F81BD" w:themeFill="accent1"/>
            <w:vAlign w:val="center"/>
          </w:tcPr>
          <w:p w14:paraId="2F7F8C04" w14:textId="77777777" w:rsidR="00D037D4" w:rsidRPr="00B81ED7" w:rsidRDefault="00D037D4" w:rsidP="001F4F5D">
            <w:pPr>
              <w:rPr>
                <w:rFonts w:ascii="Arial" w:eastAsia="Times New Roman" w:hAnsi="Arial" w:cs="Arial"/>
                <w:lang w:val="en-GB" w:eastAsia="en-GB"/>
              </w:rPr>
            </w:pPr>
            <w:r w:rsidRPr="00B81ED7">
              <w:rPr>
                <w:rFonts w:ascii="Arial" w:eastAsia="Times New Roman" w:hAnsi="Arial" w:cs="Arial"/>
                <w:lang w:val="en-GB" w:eastAsia="en-GB"/>
              </w:rPr>
              <w:t>Patient Care (including nutrition and hydration)</w:t>
            </w:r>
          </w:p>
        </w:tc>
        <w:tc>
          <w:tcPr>
            <w:tcW w:w="2416" w:type="dxa"/>
            <w:shd w:val="clear" w:color="auto" w:fill="4F81BD" w:themeFill="accent1"/>
          </w:tcPr>
          <w:p w14:paraId="7C8BEB8B" w14:textId="77777777" w:rsidR="005572EA" w:rsidRDefault="005572EA" w:rsidP="00D037D4">
            <w:pPr>
              <w:jc w:val="center"/>
              <w:rPr>
                <w:rFonts w:ascii="Arial" w:hAnsi="Arial" w:cs="Arial"/>
                <w:lang w:val="en-GB"/>
              </w:rPr>
            </w:pPr>
          </w:p>
          <w:p w14:paraId="4B2B4D45" w14:textId="4CD0AD0F" w:rsidR="00D037D4" w:rsidRPr="00B81ED7" w:rsidRDefault="00D037D4" w:rsidP="00D037D4">
            <w:pPr>
              <w:jc w:val="center"/>
              <w:rPr>
                <w:rFonts w:ascii="Arial" w:hAnsi="Arial" w:cs="Arial"/>
                <w:lang w:val="en-GB"/>
              </w:rPr>
            </w:pPr>
            <w:r w:rsidRPr="00B81ED7">
              <w:rPr>
                <w:rFonts w:ascii="Arial" w:hAnsi="Arial" w:cs="Arial"/>
                <w:lang w:val="en-GB"/>
              </w:rPr>
              <w:t>203</w:t>
            </w:r>
          </w:p>
        </w:tc>
        <w:tc>
          <w:tcPr>
            <w:tcW w:w="2269" w:type="dxa"/>
            <w:shd w:val="clear" w:color="auto" w:fill="4F81BD" w:themeFill="accent1"/>
            <w:vAlign w:val="center"/>
          </w:tcPr>
          <w:p w14:paraId="640B30D0" w14:textId="77777777" w:rsidR="005572EA" w:rsidRDefault="005572EA" w:rsidP="00D037D4">
            <w:pPr>
              <w:jc w:val="center"/>
              <w:rPr>
                <w:rFonts w:ascii="Arial" w:hAnsi="Arial" w:cs="Arial"/>
                <w:lang w:val="en-GB"/>
              </w:rPr>
            </w:pPr>
          </w:p>
          <w:p w14:paraId="30AD5A46" w14:textId="1ED81E32" w:rsidR="00D037D4" w:rsidRPr="00B81ED7" w:rsidRDefault="00D037D4" w:rsidP="00D037D4">
            <w:pPr>
              <w:jc w:val="center"/>
              <w:rPr>
                <w:rFonts w:ascii="Arial" w:hAnsi="Arial" w:cs="Arial"/>
                <w:lang w:val="en-GB"/>
              </w:rPr>
            </w:pPr>
            <w:r w:rsidRPr="00B81ED7">
              <w:rPr>
                <w:rFonts w:ascii="Arial" w:hAnsi="Arial" w:cs="Arial"/>
                <w:lang w:val="en-GB"/>
              </w:rPr>
              <w:t>309</w:t>
            </w:r>
          </w:p>
          <w:p w14:paraId="52E802B6" w14:textId="056CFDCF" w:rsidR="00D037D4" w:rsidRPr="00B81ED7" w:rsidRDefault="00D037D4" w:rsidP="001F4F5D">
            <w:pPr>
              <w:rPr>
                <w:rFonts w:ascii="Arial" w:hAnsi="Arial" w:cs="Arial"/>
                <w:lang w:val="en-GB"/>
              </w:rPr>
            </w:pPr>
          </w:p>
        </w:tc>
        <w:tc>
          <w:tcPr>
            <w:tcW w:w="2502" w:type="dxa"/>
            <w:gridSpan w:val="2"/>
            <w:shd w:val="clear" w:color="auto" w:fill="4F81BD" w:themeFill="accent1"/>
            <w:vAlign w:val="center"/>
          </w:tcPr>
          <w:p w14:paraId="4F8080F7" w14:textId="482C3209" w:rsidR="00D037D4" w:rsidRPr="00B81ED7" w:rsidRDefault="00D037D4" w:rsidP="00D037D4">
            <w:pPr>
              <w:spacing w:before="120" w:after="120"/>
              <w:jc w:val="center"/>
              <w:rPr>
                <w:rFonts w:ascii="Arial" w:hAnsi="Arial" w:cs="Arial"/>
                <w:lang w:val="en-GB"/>
              </w:rPr>
            </w:pPr>
            <w:r w:rsidRPr="00B81ED7">
              <w:rPr>
                <w:rFonts w:ascii="Arial" w:hAnsi="Arial" w:cs="Arial"/>
                <w:lang w:val="en-GB"/>
              </w:rPr>
              <w:t>379</w:t>
            </w:r>
          </w:p>
        </w:tc>
      </w:tr>
      <w:tr w:rsidR="005572EA" w:rsidRPr="004537C7" w14:paraId="2BA08AD9" w14:textId="77777777" w:rsidTr="00976786">
        <w:trPr>
          <w:trHeight w:val="567"/>
          <w:jc w:val="center"/>
        </w:trPr>
        <w:tc>
          <w:tcPr>
            <w:tcW w:w="2541" w:type="dxa"/>
            <w:vAlign w:val="center"/>
          </w:tcPr>
          <w:p w14:paraId="2E417267" w14:textId="77777777" w:rsidR="005572EA" w:rsidRPr="00B81ED7" w:rsidRDefault="005572EA" w:rsidP="001F4F5D">
            <w:pPr>
              <w:rPr>
                <w:rFonts w:ascii="Arial" w:eastAsia="Times New Roman" w:hAnsi="Arial" w:cs="Arial"/>
                <w:lang w:val="en-GB" w:eastAsia="en-GB"/>
              </w:rPr>
            </w:pPr>
            <w:r w:rsidRPr="00B81ED7">
              <w:rPr>
                <w:rFonts w:ascii="Arial" w:eastAsia="Times New Roman" w:hAnsi="Arial" w:cs="Arial"/>
                <w:lang w:val="en-GB" w:eastAsia="en-GB"/>
              </w:rPr>
              <w:t>Prescribing errors</w:t>
            </w:r>
          </w:p>
        </w:tc>
        <w:tc>
          <w:tcPr>
            <w:tcW w:w="2416" w:type="dxa"/>
          </w:tcPr>
          <w:p w14:paraId="3C762FF7" w14:textId="77777777" w:rsidR="005572EA" w:rsidRDefault="005572EA" w:rsidP="005572EA">
            <w:pPr>
              <w:jc w:val="center"/>
              <w:rPr>
                <w:rFonts w:ascii="Arial" w:hAnsi="Arial" w:cs="Arial"/>
                <w:lang w:val="en-GB"/>
              </w:rPr>
            </w:pPr>
          </w:p>
          <w:p w14:paraId="1FCE96A3" w14:textId="1906FF20" w:rsidR="005572EA" w:rsidRPr="00B81ED7" w:rsidRDefault="005572EA" w:rsidP="005572EA">
            <w:pPr>
              <w:jc w:val="center"/>
              <w:rPr>
                <w:rFonts w:ascii="Arial" w:hAnsi="Arial" w:cs="Arial"/>
                <w:lang w:val="en-GB"/>
              </w:rPr>
            </w:pPr>
            <w:r w:rsidRPr="00B81ED7">
              <w:rPr>
                <w:rFonts w:ascii="Arial" w:hAnsi="Arial" w:cs="Arial"/>
                <w:lang w:val="en-GB"/>
              </w:rPr>
              <w:t>13</w:t>
            </w:r>
          </w:p>
        </w:tc>
        <w:tc>
          <w:tcPr>
            <w:tcW w:w="2269" w:type="dxa"/>
            <w:vAlign w:val="center"/>
          </w:tcPr>
          <w:p w14:paraId="0107885D" w14:textId="77777777" w:rsidR="005572EA" w:rsidRDefault="005572EA" w:rsidP="005572EA">
            <w:pPr>
              <w:jc w:val="center"/>
              <w:rPr>
                <w:rFonts w:ascii="Arial" w:hAnsi="Arial" w:cs="Arial"/>
                <w:lang w:val="en-GB"/>
              </w:rPr>
            </w:pPr>
          </w:p>
          <w:p w14:paraId="4634EEEA" w14:textId="3BC7F4CF" w:rsidR="005572EA" w:rsidRPr="00B81ED7" w:rsidRDefault="005572EA" w:rsidP="005572EA">
            <w:pPr>
              <w:jc w:val="center"/>
              <w:rPr>
                <w:rFonts w:ascii="Arial" w:hAnsi="Arial" w:cs="Arial"/>
                <w:lang w:val="en-GB"/>
              </w:rPr>
            </w:pPr>
            <w:r w:rsidRPr="00B81ED7">
              <w:rPr>
                <w:rFonts w:ascii="Arial" w:hAnsi="Arial" w:cs="Arial"/>
                <w:lang w:val="en-GB"/>
              </w:rPr>
              <w:t>32</w:t>
            </w:r>
          </w:p>
          <w:p w14:paraId="64A30375" w14:textId="77BE56BA" w:rsidR="005572EA" w:rsidRPr="00B81ED7" w:rsidRDefault="005572EA" w:rsidP="001F4F5D">
            <w:pPr>
              <w:rPr>
                <w:rFonts w:ascii="Arial" w:hAnsi="Arial" w:cs="Arial"/>
                <w:lang w:val="en-GB"/>
              </w:rPr>
            </w:pPr>
          </w:p>
        </w:tc>
        <w:tc>
          <w:tcPr>
            <w:tcW w:w="2502" w:type="dxa"/>
            <w:gridSpan w:val="2"/>
            <w:vAlign w:val="center"/>
          </w:tcPr>
          <w:p w14:paraId="1772D6A1" w14:textId="4D13287E" w:rsidR="005572EA" w:rsidRPr="00B81ED7" w:rsidRDefault="005572EA" w:rsidP="005572EA">
            <w:pPr>
              <w:spacing w:before="120" w:after="120"/>
              <w:jc w:val="center"/>
              <w:rPr>
                <w:rFonts w:ascii="Arial" w:hAnsi="Arial" w:cs="Arial"/>
                <w:lang w:val="en-GB"/>
              </w:rPr>
            </w:pPr>
            <w:r w:rsidRPr="00B81ED7">
              <w:rPr>
                <w:rFonts w:ascii="Arial" w:hAnsi="Arial" w:cs="Arial"/>
                <w:lang w:val="en-GB"/>
              </w:rPr>
              <w:t>43</w:t>
            </w:r>
          </w:p>
        </w:tc>
      </w:tr>
      <w:tr w:rsidR="005572EA" w:rsidRPr="004537C7" w14:paraId="2E22842D" w14:textId="77777777" w:rsidTr="00F77599">
        <w:trPr>
          <w:trHeight w:val="567"/>
          <w:jc w:val="center"/>
        </w:trPr>
        <w:tc>
          <w:tcPr>
            <w:tcW w:w="2541" w:type="dxa"/>
            <w:vAlign w:val="center"/>
          </w:tcPr>
          <w:p w14:paraId="48FB6EB0" w14:textId="77777777" w:rsidR="005572EA" w:rsidRPr="00B81ED7" w:rsidRDefault="005572EA" w:rsidP="001F4F5D">
            <w:pPr>
              <w:rPr>
                <w:rFonts w:ascii="Arial" w:eastAsia="Times New Roman" w:hAnsi="Arial" w:cs="Arial"/>
                <w:lang w:val="en-GB" w:eastAsia="en-GB"/>
              </w:rPr>
            </w:pPr>
            <w:r w:rsidRPr="00B81ED7">
              <w:rPr>
                <w:rFonts w:ascii="Arial" w:eastAsia="Times New Roman" w:hAnsi="Arial" w:cs="Arial"/>
                <w:lang w:val="en-GB" w:eastAsia="en-GB"/>
              </w:rPr>
              <w:t>Privacy, Dignity and Wellbeing</w:t>
            </w:r>
          </w:p>
        </w:tc>
        <w:tc>
          <w:tcPr>
            <w:tcW w:w="2416" w:type="dxa"/>
          </w:tcPr>
          <w:p w14:paraId="38328BA6" w14:textId="77777777" w:rsidR="005572EA" w:rsidRDefault="005572EA" w:rsidP="005572EA">
            <w:pPr>
              <w:jc w:val="center"/>
              <w:rPr>
                <w:rFonts w:ascii="Arial" w:hAnsi="Arial" w:cs="Arial"/>
                <w:lang w:val="en-GB"/>
              </w:rPr>
            </w:pPr>
          </w:p>
          <w:p w14:paraId="70D23731" w14:textId="333CA27E" w:rsidR="005572EA" w:rsidRPr="00B81ED7" w:rsidRDefault="005572EA" w:rsidP="005572EA">
            <w:pPr>
              <w:jc w:val="center"/>
              <w:rPr>
                <w:rFonts w:ascii="Arial" w:hAnsi="Arial" w:cs="Arial"/>
                <w:lang w:val="en-GB"/>
              </w:rPr>
            </w:pPr>
            <w:r w:rsidRPr="00B81ED7">
              <w:rPr>
                <w:rFonts w:ascii="Arial" w:hAnsi="Arial" w:cs="Arial"/>
                <w:lang w:val="en-GB"/>
              </w:rPr>
              <w:t>41</w:t>
            </w:r>
          </w:p>
        </w:tc>
        <w:tc>
          <w:tcPr>
            <w:tcW w:w="2269" w:type="dxa"/>
            <w:vAlign w:val="center"/>
          </w:tcPr>
          <w:p w14:paraId="19CB9C6C" w14:textId="77777777" w:rsidR="005572EA" w:rsidRDefault="005572EA" w:rsidP="005572EA">
            <w:pPr>
              <w:jc w:val="center"/>
              <w:rPr>
                <w:rFonts w:ascii="Arial" w:hAnsi="Arial" w:cs="Arial"/>
                <w:lang w:val="en-GB"/>
              </w:rPr>
            </w:pPr>
          </w:p>
          <w:p w14:paraId="3EE0AE51" w14:textId="706625F8" w:rsidR="005572EA" w:rsidRPr="00B81ED7" w:rsidRDefault="005572EA" w:rsidP="005572EA">
            <w:pPr>
              <w:jc w:val="center"/>
              <w:rPr>
                <w:rFonts w:ascii="Arial" w:hAnsi="Arial" w:cs="Arial"/>
                <w:lang w:val="en-GB"/>
              </w:rPr>
            </w:pPr>
            <w:r w:rsidRPr="00B81ED7">
              <w:rPr>
                <w:rFonts w:ascii="Arial" w:hAnsi="Arial" w:cs="Arial"/>
                <w:lang w:val="en-GB"/>
              </w:rPr>
              <w:t>55</w:t>
            </w:r>
          </w:p>
          <w:p w14:paraId="45D5EE5F" w14:textId="4C8C3AC2" w:rsidR="005572EA" w:rsidRPr="00B81ED7" w:rsidRDefault="005572EA" w:rsidP="001F4F5D">
            <w:pPr>
              <w:rPr>
                <w:rFonts w:ascii="Arial" w:hAnsi="Arial" w:cs="Arial"/>
                <w:lang w:val="en-GB"/>
              </w:rPr>
            </w:pPr>
          </w:p>
        </w:tc>
        <w:tc>
          <w:tcPr>
            <w:tcW w:w="2502" w:type="dxa"/>
            <w:gridSpan w:val="2"/>
            <w:vAlign w:val="center"/>
          </w:tcPr>
          <w:p w14:paraId="50001495" w14:textId="3D61EA4B" w:rsidR="005572EA" w:rsidRPr="00B81ED7" w:rsidRDefault="005572EA" w:rsidP="005572EA">
            <w:pPr>
              <w:spacing w:before="120" w:after="120"/>
              <w:jc w:val="center"/>
              <w:rPr>
                <w:rFonts w:ascii="Arial" w:hAnsi="Arial" w:cs="Arial"/>
                <w:lang w:val="en-GB"/>
              </w:rPr>
            </w:pPr>
            <w:r w:rsidRPr="00B81ED7">
              <w:rPr>
                <w:rFonts w:ascii="Arial" w:hAnsi="Arial" w:cs="Arial"/>
                <w:lang w:val="en-GB"/>
              </w:rPr>
              <w:t>77</w:t>
            </w:r>
          </w:p>
        </w:tc>
      </w:tr>
      <w:tr w:rsidR="005572EA" w:rsidRPr="004537C7" w14:paraId="37D312EF" w14:textId="77777777" w:rsidTr="00C71644">
        <w:trPr>
          <w:trHeight w:val="567"/>
          <w:jc w:val="center"/>
        </w:trPr>
        <w:tc>
          <w:tcPr>
            <w:tcW w:w="2541" w:type="dxa"/>
            <w:vAlign w:val="center"/>
          </w:tcPr>
          <w:p w14:paraId="7D358956" w14:textId="77777777" w:rsidR="005572EA" w:rsidRPr="00B81ED7" w:rsidRDefault="005572EA" w:rsidP="001F4F5D">
            <w:pPr>
              <w:rPr>
                <w:rFonts w:ascii="Arial" w:eastAsia="Times New Roman" w:hAnsi="Arial" w:cs="Arial"/>
                <w:lang w:val="en-GB" w:eastAsia="en-GB"/>
              </w:rPr>
            </w:pPr>
            <w:r w:rsidRPr="00B81ED7">
              <w:rPr>
                <w:rFonts w:ascii="Arial" w:eastAsia="Times New Roman" w:hAnsi="Arial" w:cs="Arial"/>
                <w:lang w:val="en-GB" w:eastAsia="en-GB"/>
              </w:rPr>
              <w:t>Restraint</w:t>
            </w:r>
          </w:p>
        </w:tc>
        <w:tc>
          <w:tcPr>
            <w:tcW w:w="2416" w:type="dxa"/>
          </w:tcPr>
          <w:p w14:paraId="540476A4" w14:textId="77777777" w:rsidR="005572EA" w:rsidRDefault="005572EA" w:rsidP="005572EA">
            <w:pPr>
              <w:jc w:val="center"/>
              <w:rPr>
                <w:rFonts w:ascii="Arial" w:hAnsi="Arial" w:cs="Arial"/>
                <w:lang w:val="en-GB"/>
              </w:rPr>
            </w:pPr>
          </w:p>
          <w:p w14:paraId="09E2A407" w14:textId="7237715A" w:rsidR="005572EA" w:rsidRPr="00B81ED7" w:rsidRDefault="005572EA" w:rsidP="005572EA">
            <w:pPr>
              <w:jc w:val="center"/>
              <w:rPr>
                <w:rFonts w:ascii="Arial" w:hAnsi="Arial" w:cs="Arial"/>
                <w:lang w:val="en-GB"/>
              </w:rPr>
            </w:pPr>
            <w:r w:rsidRPr="00B81ED7">
              <w:rPr>
                <w:rFonts w:ascii="Arial" w:hAnsi="Arial" w:cs="Arial"/>
                <w:lang w:val="en-GB"/>
              </w:rPr>
              <w:t>1</w:t>
            </w:r>
          </w:p>
        </w:tc>
        <w:tc>
          <w:tcPr>
            <w:tcW w:w="2269" w:type="dxa"/>
            <w:vAlign w:val="center"/>
          </w:tcPr>
          <w:p w14:paraId="5354AB2B" w14:textId="77777777" w:rsidR="005572EA" w:rsidRDefault="005572EA" w:rsidP="005572EA">
            <w:pPr>
              <w:jc w:val="center"/>
              <w:rPr>
                <w:rFonts w:ascii="Arial" w:hAnsi="Arial" w:cs="Arial"/>
                <w:lang w:val="en-GB"/>
              </w:rPr>
            </w:pPr>
          </w:p>
          <w:p w14:paraId="5268F10D" w14:textId="2F330507" w:rsidR="005572EA" w:rsidRPr="00B81ED7" w:rsidRDefault="005572EA" w:rsidP="005572EA">
            <w:pPr>
              <w:jc w:val="center"/>
              <w:rPr>
                <w:rFonts w:ascii="Arial" w:hAnsi="Arial" w:cs="Arial"/>
                <w:lang w:val="en-GB"/>
              </w:rPr>
            </w:pPr>
            <w:r w:rsidRPr="00B81ED7">
              <w:rPr>
                <w:rFonts w:ascii="Arial" w:hAnsi="Arial" w:cs="Arial"/>
                <w:lang w:val="en-GB"/>
              </w:rPr>
              <w:t>8</w:t>
            </w:r>
          </w:p>
          <w:p w14:paraId="6BFA90D5" w14:textId="1EF45F1C" w:rsidR="005572EA" w:rsidRPr="00B81ED7" w:rsidRDefault="005572EA" w:rsidP="001F4F5D">
            <w:pPr>
              <w:rPr>
                <w:rFonts w:ascii="Arial" w:hAnsi="Arial" w:cs="Arial"/>
                <w:lang w:val="en-GB"/>
              </w:rPr>
            </w:pPr>
          </w:p>
        </w:tc>
        <w:tc>
          <w:tcPr>
            <w:tcW w:w="2502" w:type="dxa"/>
            <w:gridSpan w:val="2"/>
            <w:vAlign w:val="center"/>
          </w:tcPr>
          <w:p w14:paraId="54540F12" w14:textId="5626F287" w:rsidR="005572EA" w:rsidRPr="00B81ED7" w:rsidRDefault="005572EA" w:rsidP="005572EA">
            <w:pPr>
              <w:spacing w:before="120" w:after="120"/>
              <w:jc w:val="center"/>
              <w:rPr>
                <w:rFonts w:ascii="Arial" w:hAnsi="Arial" w:cs="Arial"/>
                <w:lang w:val="en-GB"/>
              </w:rPr>
            </w:pPr>
            <w:r w:rsidRPr="00B81ED7">
              <w:rPr>
                <w:rFonts w:ascii="Arial" w:hAnsi="Arial" w:cs="Arial"/>
                <w:lang w:val="en-GB"/>
              </w:rPr>
              <w:t>2</w:t>
            </w:r>
          </w:p>
        </w:tc>
      </w:tr>
      <w:tr w:rsidR="005572EA" w:rsidRPr="004537C7" w14:paraId="4B895C4B" w14:textId="77777777" w:rsidTr="00B82FC9">
        <w:trPr>
          <w:trHeight w:val="567"/>
          <w:jc w:val="center"/>
        </w:trPr>
        <w:tc>
          <w:tcPr>
            <w:tcW w:w="2541" w:type="dxa"/>
            <w:vAlign w:val="center"/>
          </w:tcPr>
          <w:p w14:paraId="378A3C28" w14:textId="77777777" w:rsidR="005572EA" w:rsidRPr="00B81ED7" w:rsidRDefault="005572EA" w:rsidP="001F4F5D">
            <w:pPr>
              <w:rPr>
                <w:rFonts w:ascii="Arial" w:eastAsia="Times New Roman" w:hAnsi="Arial" w:cs="Arial"/>
                <w:lang w:val="en-GB" w:eastAsia="en-GB"/>
              </w:rPr>
            </w:pPr>
            <w:r w:rsidRPr="00B81ED7">
              <w:rPr>
                <w:rFonts w:ascii="Arial" w:eastAsia="Times New Roman" w:hAnsi="Arial" w:cs="Arial"/>
                <w:lang w:val="en-GB" w:eastAsia="en-GB"/>
              </w:rPr>
              <w:t>Staffing Numbers</w:t>
            </w:r>
          </w:p>
        </w:tc>
        <w:tc>
          <w:tcPr>
            <w:tcW w:w="2416" w:type="dxa"/>
          </w:tcPr>
          <w:p w14:paraId="5323124D" w14:textId="77777777" w:rsidR="005572EA" w:rsidRDefault="005572EA" w:rsidP="005572EA">
            <w:pPr>
              <w:jc w:val="center"/>
              <w:rPr>
                <w:rFonts w:ascii="Arial" w:hAnsi="Arial" w:cs="Arial"/>
                <w:lang w:val="en-GB"/>
              </w:rPr>
            </w:pPr>
          </w:p>
          <w:p w14:paraId="4D32A27F" w14:textId="4A484F9D" w:rsidR="005572EA" w:rsidRPr="00B81ED7" w:rsidRDefault="005572EA" w:rsidP="005572EA">
            <w:pPr>
              <w:jc w:val="center"/>
              <w:rPr>
                <w:rFonts w:ascii="Arial" w:hAnsi="Arial" w:cs="Arial"/>
                <w:lang w:val="en-GB"/>
              </w:rPr>
            </w:pPr>
            <w:r w:rsidRPr="00B81ED7">
              <w:rPr>
                <w:rFonts w:ascii="Arial" w:hAnsi="Arial" w:cs="Arial"/>
                <w:lang w:val="en-GB"/>
              </w:rPr>
              <w:t>7</w:t>
            </w:r>
          </w:p>
        </w:tc>
        <w:tc>
          <w:tcPr>
            <w:tcW w:w="2269" w:type="dxa"/>
            <w:vAlign w:val="center"/>
          </w:tcPr>
          <w:p w14:paraId="225DA294" w14:textId="77777777" w:rsidR="005572EA" w:rsidRDefault="005572EA" w:rsidP="005572EA">
            <w:pPr>
              <w:jc w:val="center"/>
              <w:rPr>
                <w:rFonts w:ascii="Arial" w:hAnsi="Arial" w:cs="Arial"/>
                <w:lang w:val="en-GB"/>
              </w:rPr>
            </w:pPr>
          </w:p>
          <w:p w14:paraId="4DFF74D7" w14:textId="0F1B38C5" w:rsidR="005572EA" w:rsidRPr="00B81ED7" w:rsidRDefault="005572EA" w:rsidP="005572EA">
            <w:pPr>
              <w:jc w:val="center"/>
              <w:rPr>
                <w:rFonts w:ascii="Arial" w:hAnsi="Arial" w:cs="Arial"/>
                <w:lang w:val="en-GB"/>
              </w:rPr>
            </w:pPr>
            <w:r w:rsidRPr="00B81ED7">
              <w:rPr>
                <w:rFonts w:ascii="Arial" w:hAnsi="Arial" w:cs="Arial"/>
                <w:lang w:val="en-GB"/>
              </w:rPr>
              <w:t>14</w:t>
            </w:r>
          </w:p>
          <w:p w14:paraId="0EF26733" w14:textId="5C324202" w:rsidR="005572EA" w:rsidRPr="00B81ED7" w:rsidRDefault="005572EA" w:rsidP="001F4F5D">
            <w:pPr>
              <w:rPr>
                <w:rFonts w:ascii="Arial" w:hAnsi="Arial" w:cs="Arial"/>
                <w:lang w:val="en-GB"/>
              </w:rPr>
            </w:pPr>
          </w:p>
        </w:tc>
        <w:tc>
          <w:tcPr>
            <w:tcW w:w="2502" w:type="dxa"/>
            <w:gridSpan w:val="2"/>
            <w:vAlign w:val="center"/>
          </w:tcPr>
          <w:p w14:paraId="0479B109" w14:textId="76D45FAE" w:rsidR="005572EA" w:rsidRPr="00B81ED7" w:rsidRDefault="005572EA" w:rsidP="005572EA">
            <w:pPr>
              <w:spacing w:before="120" w:after="120"/>
              <w:jc w:val="center"/>
              <w:rPr>
                <w:rFonts w:ascii="Arial" w:hAnsi="Arial" w:cs="Arial"/>
                <w:lang w:val="en-GB"/>
              </w:rPr>
            </w:pPr>
            <w:r w:rsidRPr="00B81ED7">
              <w:rPr>
                <w:rFonts w:ascii="Arial" w:hAnsi="Arial" w:cs="Arial"/>
                <w:lang w:val="en-GB"/>
              </w:rPr>
              <w:t>30</w:t>
            </w:r>
          </w:p>
        </w:tc>
      </w:tr>
      <w:tr w:rsidR="005572EA" w:rsidRPr="004537C7" w14:paraId="641F29B2" w14:textId="77777777" w:rsidTr="008A0B4B">
        <w:trPr>
          <w:trHeight w:val="567"/>
          <w:jc w:val="center"/>
        </w:trPr>
        <w:tc>
          <w:tcPr>
            <w:tcW w:w="2541" w:type="dxa"/>
            <w:vAlign w:val="center"/>
          </w:tcPr>
          <w:p w14:paraId="6FA681A9" w14:textId="77777777" w:rsidR="005572EA" w:rsidRPr="00B81ED7" w:rsidRDefault="005572EA" w:rsidP="001F4F5D">
            <w:pPr>
              <w:rPr>
                <w:rFonts w:ascii="Arial" w:eastAsia="Times New Roman" w:hAnsi="Arial" w:cs="Arial"/>
                <w:lang w:val="en-GB" w:eastAsia="en-GB"/>
              </w:rPr>
            </w:pPr>
            <w:r w:rsidRPr="00B81ED7">
              <w:rPr>
                <w:rFonts w:ascii="Arial" w:eastAsia="Times New Roman" w:hAnsi="Arial" w:cs="Arial"/>
                <w:lang w:val="en-GB" w:eastAsia="en-GB"/>
              </w:rPr>
              <w:t>Trust Administration</w:t>
            </w:r>
          </w:p>
        </w:tc>
        <w:tc>
          <w:tcPr>
            <w:tcW w:w="2416" w:type="dxa"/>
          </w:tcPr>
          <w:p w14:paraId="3CA35699" w14:textId="77777777" w:rsidR="005572EA" w:rsidRDefault="005572EA" w:rsidP="005572EA">
            <w:pPr>
              <w:jc w:val="center"/>
              <w:rPr>
                <w:rFonts w:ascii="Arial" w:hAnsi="Arial" w:cs="Arial"/>
                <w:lang w:val="en-GB"/>
              </w:rPr>
            </w:pPr>
          </w:p>
          <w:p w14:paraId="61C9171F" w14:textId="4C6793F1" w:rsidR="005572EA" w:rsidRPr="00B81ED7" w:rsidRDefault="005572EA" w:rsidP="005572EA">
            <w:pPr>
              <w:jc w:val="center"/>
              <w:rPr>
                <w:rFonts w:ascii="Arial" w:hAnsi="Arial" w:cs="Arial"/>
                <w:lang w:val="en-GB"/>
              </w:rPr>
            </w:pPr>
            <w:r w:rsidRPr="00B81ED7">
              <w:rPr>
                <w:rFonts w:ascii="Arial" w:hAnsi="Arial" w:cs="Arial"/>
                <w:lang w:val="en-GB"/>
              </w:rPr>
              <w:t>47</w:t>
            </w:r>
          </w:p>
        </w:tc>
        <w:tc>
          <w:tcPr>
            <w:tcW w:w="2269" w:type="dxa"/>
            <w:vAlign w:val="center"/>
          </w:tcPr>
          <w:p w14:paraId="5B00E491" w14:textId="77777777" w:rsidR="005572EA" w:rsidRDefault="005572EA" w:rsidP="005572EA">
            <w:pPr>
              <w:jc w:val="center"/>
              <w:rPr>
                <w:rFonts w:ascii="Arial" w:hAnsi="Arial" w:cs="Arial"/>
                <w:lang w:val="en-GB"/>
              </w:rPr>
            </w:pPr>
          </w:p>
          <w:p w14:paraId="6F742657" w14:textId="68C4A528" w:rsidR="005572EA" w:rsidRPr="00B81ED7" w:rsidRDefault="005572EA" w:rsidP="005572EA">
            <w:pPr>
              <w:jc w:val="center"/>
              <w:rPr>
                <w:rFonts w:ascii="Arial" w:hAnsi="Arial" w:cs="Arial"/>
                <w:lang w:val="en-GB"/>
              </w:rPr>
            </w:pPr>
            <w:r w:rsidRPr="00B81ED7">
              <w:rPr>
                <w:rFonts w:ascii="Arial" w:hAnsi="Arial" w:cs="Arial"/>
                <w:lang w:val="en-GB"/>
              </w:rPr>
              <w:t>49</w:t>
            </w:r>
          </w:p>
          <w:p w14:paraId="6F51E70C" w14:textId="55EFBA23" w:rsidR="005572EA" w:rsidRPr="00B81ED7" w:rsidRDefault="005572EA" w:rsidP="005572EA">
            <w:pPr>
              <w:jc w:val="center"/>
              <w:rPr>
                <w:rFonts w:ascii="Arial" w:hAnsi="Arial" w:cs="Arial"/>
                <w:lang w:val="en-GB"/>
              </w:rPr>
            </w:pPr>
          </w:p>
        </w:tc>
        <w:tc>
          <w:tcPr>
            <w:tcW w:w="2502" w:type="dxa"/>
            <w:gridSpan w:val="2"/>
            <w:vAlign w:val="center"/>
          </w:tcPr>
          <w:p w14:paraId="5570D16D" w14:textId="64DF3649" w:rsidR="005572EA" w:rsidRPr="00B81ED7" w:rsidRDefault="005572EA" w:rsidP="005572EA">
            <w:pPr>
              <w:spacing w:before="120" w:after="120"/>
              <w:jc w:val="center"/>
              <w:rPr>
                <w:rFonts w:ascii="Arial" w:hAnsi="Arial" w:cs="Arial"/>
                <w:lang w:val="en-GB"/>
              </w:rPr>
            </w:pPr>
            <w:r w:rsidRPr="00B81ED7">
              <w:rPr>
                <w:rFonts w:ascii="Arial" w:hAnsi="Arial" w:cs="Arial"/>
                <w:lang w:val="en-GB"/>
              </w:rPr>
              <w:t>79</w:t>
            </w:r>
          </w:p>
        </w:tc>
      </w:tr>
      <w:tr w:rsidR="005572EA" w:rsidRPr="004537C7" w14:paraId="381AA1FC" w14:textId="77777777" w:rsidTr="00B81001">
        <w:trPr>
          <w:trHeight w:val="567"/>
          <w:jc w:val="center"/>
        </w:trPr>
        <w:tc>
          <w:tcPr>
            <w:tcW w:w="2541" w:type="dxa"/>
            <w:shd w:val="clear" w:color="auto" w:fill="4F81BD" w:themeFill="accent1"/>
            <w:vAlign w:val="center"/>
          </w:tcPr>
          <w:p w14:paraId="1A8F8F79" w14:textId="77777777" w:rsidR="005572EA" w:rsidRPr="00B81ED7" w:rsidRDefault="005572EA" w:rsidP="001F4F5D">
            <w:pPr>
              <w:rPr>
                <w:rFonts w:ascii="Arial" w:eastAsia="Times New Roman" w:hAnsi="Arial" w:cs="Arial"/>
                <w:lang w:val="en-GB" w:eastAsia="en-GB"/>
              </w:rPr>
            </w:pPr>
            <w:r w:rsidRPr="00B81ED7">
              <w:rPr>
                <w:rFonts w:ascii="Arial" w:eastAsia="Times New Roman" w:hAnsi="Arial" w:cs="Arial"/>
                <w:lang w:val="en-GB" w:eastAsia="en-GB"/>
              </w:rPr>
              <w:t>Values and Behaviour</w:t>
            </w:r>
          </w:p>
        </w:tc>
        <w:tc>
          <w:tcPr>
            <w:tcW w:w="2416" w:type="dxa"/>
            <w:shd w:val="clear" w:color="auto" w:fill="4F81BD" w:themeFill="accent1"/>
          </w:tcPr>
          <w:p w14:paraId="431100A3" w14:textId="77777777" w:rsidR="005572EA" w:rsidRDefault="005572EA" w:rsidP="005572EA">
            <w:pPr>
              <w:jc w:val="center"/>
              <w:rPr>
                <w:rFonts w:ascii="Arial" w:hAnsi="Arial" w:cs="Arial"/>
                <w:lang w:val="en-GB"/>
              </w:rPr>
            </w:pPr>
          </w:p>
          <w:p w14:paraId="107FC776" w14:textId="623269C8" w:rsidR="005572EA" w:rsidRPr="00B81ED7" w:rsidRDefault="005572EA" w:rsidP="005572EA">
            <w:pPr>
              <w:jc w:val="center"/>
              <w:rPr>
                <w:rFonts w:ascii="Arial" w:hAnsi="Arial" w:cs="Arial"/>
                <w:lang w:val="en-GB"/>
              </w:rPr>
            </w:pPr>
            <w:r w:rsidRPr="00B81ED7">
              <w:rPr>
                <w:rFonts w:ascii="Arial" w:hAnsi="Arial" w:cs="Arial"/>
                <w:lang w:val="en-GB"/>
              </w:rPr>
              <w:t>225</w:t>
            </w:r>
          </w:p>
        </w:tc>
        <w:tc>
          <w:tcPr>
            <w:tcW w:w="2269" w:type="dxa"/>
            <w:shd w:val="clear" w:color="auto" w:fill="4F81BD" w:themeFill="accent1"/>
            <w:vAlign w:val="center"/>
          </w:tcPr>
          <w:p w14:paraId="333F9FD5" w14:textId="77777777" w:rsidR="005572EA" w:rsidRDefault="005572EA" w:rsidP="005572EA">
            <w:pPr>
              <w:jc w:val="center"/>
              <w:rPr>
                <w:rFonts w:ascii="Arial" w:hAnsi="Arial" w:cs="Arial"/>
                <w:lang w:val="en-GB"/>
              </w:rPr>
            </w:pPr>
          </w:p>
          <w:p w14:paraId="323B63FC" w14:textId="2370A390" w:rsidR="005572EA" w:rsidRPr="00B81ED7" w:rsidRDefault="005572EA" w:rsidP="005572EA">
            <w:pPr>
              <w:jc w:val="center"/>
              <w:rPr>
                <w:rFonts w:ascii="Arial" w:hAnsi="Arial" w:cs="Arial"/>
                <w:lang w:val="en-GB"/>
              </w:rPr>
            </w:pPr>
            <w:r w:rsidRPr="00B81ED7">
              <w:rPr>
                <w:rFonts w:ascii="Arial" w:hAnsi="Arial" w:cs="Arial"/>
                <w:lang w:val="en-GB"/>
              </w:rPr>
              <w:t>298</w:t>
            </w:r>
          </w:p>
          <w:p w14:paraId="3D607E73" w14:textId="2B778687" w:rsidR="005572EA" w:rsidRPr="00B81ED7" w:rsidRDefault="005572EA" w:rsidP="005572EA">
            <w:pPr>
              <w:jc w:val="center"/>
              <w:rPr>
                <w:rFonts w:ascii="Arial" w:hAnsi="Arial" w:cs="Arial"/>
                <w:lang w:val="en-GB"/>
              </w:rPr>
            </w:pPr>
          </w:p>
        </w:tc>
        <w:tc>
          <w:tcPr>
            <w:tcW w:w="2502" w:type="dxa"/>
            <w:gridSpan w:val="2"/>
            <w:shd w:val="clear" w:color="auto" w:fill="4F81BD" w:themeFill="accent1"/>
            <w:vAlign w:val="center"/>
          </w:tcPr>
          <w:p w14:paraId="5980AA85" w14:textId="36931D45" w:rsidR="005572EA" w:rsidRPr="00B81ED7" w:rsidRDefault="005572EA" w:rsidP="005572EA">
            <w:pPr>
              <w:spacing w:before="120" w:after="120"/>
              <w:jc w:val="center"/>
              <w:rPr>
                <w:rFonts w:ascii="Arial" w:hAnsi="Arial" w:cs="Arial"/>
                <w:lang w:val="en-GB"/>
              </w:rPr>
            </w:pPr>
            <w:r w:rsidRPr="00B81ED7">
              <w:rPr>
                <w:rFonts w:ascii="Arial" w:hAnsi="Arial" w:cs="Arial"/>
                <w:lang w:val="en-GB"/>
              </w:rPr>
              <w:t>285</w:t>
            </w:r>
          </w:p>
        </w:tc>
      </w:tr>
      <w:tr w:rsidR="005572EA" w:rsidRPr="004537C7" w14:paraId="684BF7E6" w14:textId="77777777" w:rsidTr="00CD0C7F">
        <w:trPr>
          <w:trHeight w:val="567"/>
          <w:jc w:val="center"/>
        </w:trPr>
        <w:tc>
          <w:tcPr>
            <w:tcW w:w="2541" w:type="dxa"/>
            <w:vAlign w:val="center"/>
          </w:tcPr>
          <w:p w14:paraId="70C50913" w14:textId="77777777" w:rsidR="005572EA" w:rsidRPr="00B81ED7" w:rsidRDefault="005572EA" w:rsidP="001F4F5D">
            <w:pPr>
              <w:rPr>
                <w:rFonts w:ascii="Arial" w:eastAsia="Times New Roman" w:hAnsi="Arial" w:cs="Arial"/>
                <w:lang w:val="en-GB" w:eastAsia="en-GB"/>
              </w:rPr>
            </w:pPr>
            <w:r w:rsidRPr="00B81ED7">
              <w:rPr>
                <w:rFonts w:ascii="Arial" w:eastAsia="Times New Roman" w:hAnsi="Arial" w:cs="Arial"/>
                <w:lang w:val="en-GB" w:eastAsia="en-GB"/>
              </w:rPr>
              <w:t>Waiting Times</w:t>
            </w:r>
          </w:p>
        </w:tc>
        <w:tc>
          <w:tcPr>
            <w:tcW w:w="2416" w:type="dxa"/>
          </w:tcPr>
          <w:p w14:paraId="51FA1783" w14:textId="77777777" w:rsidR="005572EA" w:rsidRPr="00B81ED7" w:rsidRDefault="005572EA" w:rsidP="005572EA">
            <w:pPr>
              <w:jc w:val="center"/>
              <w:rPr>
                <w:rFonts w:ascii="Arial" w:hAnsi="Arial" w:cs="Arial"/>
                <w:lang w:val="en-GB"/>
              </w:rPr>
            </w:pPr>
            <w:r w:rsidRPr="00B81ED7">
              <w:rPr>
                <w:rFonts w:ascii="Arial" w:hAnsi="Arial" w:cs="Arial"/>
                <w:lang w:val="en-GB"/>
              </w:rPr>
              <w:t>50</w:t>
            </w:r>
          </w:p>
        </w:tc>
        <w:tc>
          <w:tcPr>
            <w:tcW w:w="2269" w:type="dxa"/>
            <w:vAlign w:val="center"/>
          </w:tcPr>
          <w:p w14:paraId="3B047B92" w14:textId="77777777" w:rsidR="005572EA" w:rsidRPr="00B81ED7" w:rsidRDefault="005572EA" w:rsidP="005572EA">
            <w:pPr>
              <w:jc w:val="center"/>
              <w:rPr>
                <w:rFonts w:ascii="Arial" w:hAnsi="Arial" w:cs="Arial"/>
                <w:lang w:val="en-GB"/>
              </w:rPr>
            </w:pPr>
            <w:r w:rsidRPr="00B81ED7">
              <w:rPr>
                <w:rFonts w:ascii="Arial" w:hAnsi="Arial" w:cs="Arial"/>
                <w:lang w:val="en-GB"/>
              </w:rPr>
              <w:t>52</w:t>
            </w:r>
          </w:p>
          <w:p w14:paraId="70639890" w14:textId="360554D3" w:rsidR="005572EA" w:rsidRPr="00B81ED7" w:rsidRDefault="005572EA" w:rsidP="005572EA">
            <w:pPr>
              <w:jc w:val="center"/>
              <w:rPr>
                <w:rFonts w:ascii="Arial" w:hAnsi="Arial" w:cs="Arial"/>
                <w:lang w:val="en-GB"/>
              </w:rPr>
            </w:pPr>
          </w:p>
        </w:tc>
        <w:tc>
          <w:tcPr>
            <w:tcW w:w="2502" w:type="dxa"/>
            <w:gridSpan w:val="2"/>
            <w:vAlign w:val="center"/>
          </w:tcPr>
          <w:p w14:paraId="44861E7A" w14:textId="09597C79" w:rsidR="005572EA" w:rsidRPr="00B81ED7" w:rsidRDefault="005572EA" w:rsidP="005572EA">
            <w:pPr>
              <w:spacing w:before="120" w:after="120"/>
              <w:jc w:val="center"/>
              <w:rPr>
                <w:rFonts w:ascii="Arial" w:hAnsi="Arial" w:cs="Arial"/>
                <w:lang w:val="en-GB"/>
              </w:rPr>
            </w:pPr>
            <w:r w:rsidRPr="00B81ED7">
              <w:rPr>
                <w:rFonts w:ascii="Arial" w:hAnsi="Arial" w:cs="Arial"/>
                <w:lang w:val="en-GB"/>
              </w:rPr>
              <w:t>53</w:t>
            </w:r>
          </w:p>
        </w:tc>
      </w:tr>
      <w:tr w:rsidR="005572EA" w:rsidRPr="004537C7" w14:paraId="63E7EB74" w14:textId="77777777" w:rsidTr="00DD4A1D">
        <w:trPr>
          <w:trHeight w:val="633"/>
          <w:jc w:val="center"/>
        </w:trPr>
        <w:tc>
          <w:tcPr>
            <w:tcW w:w="2541" w:type="dxa"/>
            <w:vAlign w:val="center"/>
          </w:tcPr>
          <w:p w14:paraId="45721AA1" w14:textId="77777777" w:rsidR="005572EA" w:rsidRPr="00452CE4" w:rsidRDefault="005572EA" w:rsidP="001F4F5D">
            <w:pPr>
              <w:rPr>
                <w:rFonts w:ascii="Arial" w:eastAsia="Times New Roman" w:hAnsi="Arial" w:cs="Arial"/>
                <w:color w:val="000000"/>
                <w:lang w:val="en-GB" w:eastAsia="en-GB"/>
              </w:rPr>
            </w:pPr>
            <w:r w:rsidRPr="00452CE4">
              <w:rPr>
                <w:rFonts w:ascii="Arial" w:eastAsia="Times New Roman" w:hAnsi="Arial" w:cs="Arial"/>
                <w:color w:val="000000"/>
                <w:lang w:val="en-GB" w:eastAsia="en-GB"/>
              </w:rPr>
              <w:t>Other</w:t>
            </w:r>
          </w:p>
        </w:tc>
        <w:tc>
          <w:tcPr>
            <w:tcW w:w="2416" w:type="dxa"/>
          </w:tcPr>
          <w:p w14:paraId="457477CB" w14:textId="77777777" w:rsidR="005572EA" w:rsidRDefault="005572EA" w:rsidP="005572EA">
            <w:pPr>
              <w:jc w:val="center"/>
              <w:rPr>
                <w:rFonts w:ascii="Arial" w:hAnsi="Arial" w:cs="Arial"/>
                <w:color w:val="000000"/>
                <w:lang w:val="en-GB"/>
              </w:rPr>
            </w:pPr>
            <w:r>
              <w:rPr>
                <w:rFonts w:ascii="Arial" w:hAnsi="Arial" w:cs="Arial"/>
                <w:color w:val="000000"/>
                <w:lang w:val="en-GB"/>
              </w:rPr>
              <w:t>8</w:t>
            </w:r>
          </w:p>
        </w:tc>
        <w:tc>
          <w:tcPr>
            <w:tcW w:w="2269" w:type="dxa"/>
            <w:vAlign w:val="center"/>
          </w:tcPr>
          <w:p w14:paraId="0953FAAD" w14:textId="77777777" w:rsidR="005572EA" w:rsidRPr="00452CE4" w:rsidRDefault="005572EA" w:rsidP="005572EA">
            <w:pPr>
              <w:jc w:val="center"/>
              <w:rPr>
                <w:rFonts w:ascii="Arial" w:hAnsi="Arial" w:cs="Arial"/>
                <w:color w:val="000000"/>
                <w:lang w:val="en-GB"/>
              </w:rPr>
            </w:pPr>
            <w:r>
              <w:rPr>
                <w:rFonts w:ascii="Arial" w:hAnsi="Arial" w:cs="Arial"/>
                <w:color w:val="000000"/>
                <w:lang w:val="en-GB"/>
              </w:rPr>
              <w:t>23</w:t>
            </w:r>
          </w:p>
          <w:p w14:paraId="30F8E81A" w14:textId="75C47671" w:rsidR="005572EA" w:rsidRPr="00452CE4" w:rsidRDefault="005572EA" w:rsidP="005572EA">
            <w:pPr>
              <w:jc w:val="center"/>
              <w:rPr>
                <w:rFonts w:ascii="Arial" w:hAnsi="Arial" w:cs="Arial"/>
                <w:color w:val="000000"/>
                <w:lang w:val="en-GB"/>
              </w:rPr>
            </w:pPr>
          </w:p>
        </w:tc>
        <w:tc>
          <w:tcPr>
            <w:tcW w:w="2502" w:type="dxa"/>
            <w:gridSpan w:val="2"/>
            <w:vAlign w:val="center"/>
          </w:tcPr>
          <w:p w14:paraId="369742BC" w14:textId="6DDFFEC8" w:rsidR="005572EA" w:rsidRPr="00452CE4" w:rsidRDefault="005572EA" w:rsidP="005572EA">
            <w:pPr>
              <w:spacing w:before="120" w:after="120"/>
              <w:jc w:val="center"/>
              <w:rPr>
                <w:rFonts w:ascii="Arial" w:hAnsi="Arial" w:cs="Arial"/>
                <w:lang w:val="en-GB"/>
              </w:rPr>
            </w:pPr>
            <w:r>
              <w:rPr>
                <w:rFonts w:ascii="Arial" w:hAnsi="Arial" w:cs="Arial"/>
                <w:lang w:val="en-GB"/>
              </w:rPr>
              <w:t>15</w:t>
            </w:r>
          </w:p>
        </w:tc>
      </w:tr>
    </w:tbl>
    <w:p w14:paraId="423CC689" w14:textId="2D20726E" w:rsidR="00853DBF" w:rsidRPr="00675313" w:rsidRDefault="00853DBF" w:rsidP="0068364B">
      <w:pPr>
        <w:spacing w:before="120" w:after="120"/>
        <w:jc w:val="both"/>
        <w:rPr>
          <w:rFonts w:ascii="Arial" w:hAnsi="Arial" w:cs="Arial"/>
          <w:b/>
          <w:bCs/>
          <w:u w:val="single"/>
          <w:lang w:val="en-GB"/>
        </w:rPr>
      </w:pPr>
    </w:p>
    <w:p w14:paraId="5E3C7D68" w14:textId="3074C444" w:rsidR="002259DD" w:rsidRPr="00675313" w:rsidRDefault="002259DD" w:rsidP="002259DD">
      <w:pPr>
        <w:spacing w:before="120" w:after="120"/>
        <w:ind w:firstLine="360"/>
        <w:jc w:val="right"/>
        <w:rPr>
          <w:rFonts w:ascii="Arial" w:hAnsi="Arial" w:cs="Arial"/>
          <w:b/>
          <w:bCs/>
          <w:u w:val="single"/>
          <w:lang w:val="en-GB"/>
        </w:rPr>
      </w:pPr>
      <w:r w:rsidRPr="00675313">
        <w:rPr>
          <w:rFonts w:ascii="Arial" w:hAnsi="Arial" w:cs="Arial"/>
          <w:b/>
          <w:bCs/>
          <w:u w:val="single"/>
          <w:lang w:val="en-GB"/>
        </w:rPr>
        <w:t xml:space="preserve">Table </w:t>
      </w:r>
      <w:r w:rsidR="00FE6128">
        <w:rPr>
          <w:rFonts w:ascii="Arial" w:hAnsi="Arial" w:cs="Arial"/>
          <w:b/>
          <w:bCs/>
          <w:u w:val="single"/>
          <w:lang w:val="en-GB"/>
        </w:rPr>
        <w:t>4</w:t>
      </w:r>
    </w:p>
    <w:p w14:paraId="6DF29007" w14:textId="14C04F88" w:rsidR="00A25A04" w:rsidRPr="00442C50" w:rsidRDefault="00A25A04" w:rsidP="00442C50">
      <w:pPr>
        <w:spacing w:before="120" w:after="120"/>
        <w:jc w:val="right"/>
        <w:rPr>
          <w:rFonts w:ascii="Arial" w:hAnsi="Arial" w:cs="Arial"/>
          <w:b/>
          <w:lang w:val="en-GB"/>
        </w:rPr>
      </w:pPr>
    </w:p>
    <w:p w14:paraId="0D8C57A7" w14:textId="447C5F1D" w:rsidR="00C85846" w:rsidRPr="00452CE4" w:rsidRDefault="00C85846" w:rsidP="00C85846">
      <w:pPr>
        <w:spacing w:before="120" w:after="120"/>
        <w:jc w:val="both"/>
        <w:rPr>
          <w:rFonts w:ascii="Arial" w:hAnsi="Arial" w:cs="Arial"/>
          <w:lang w:val="en-GB"/>
        </w:rPr>
      </w:pPr>
      <w:r w:rsidRPr="00625EEF">
        <w:rPr>
          <w:rFonts w:ascii="Arial" w:hAnsi="Arial" w:cs="Arial"/>
          <w:sz w:val="22"/>
          <w:szCs w:val="22"/>
          <w:lang w:val="en-GB"/>
        </w:rPr>
        <w:t xml:space="preserve">Please note complaints can involve multiple themes, hence the disparity between issues and numbers of complaints. </w:t>
      </w:r>
    </w:p>
    <w:p w14:paraId="3C522125" w14:textId="22D33C44" w:rsidR="00C85846" w:rsidRDefault="00C85846" w:rsidP="00F94D1F">
      <w:pPr>
        <w:rPr>
          <w:rFonts w:ascii="Arial" w:hAnsi="Arial" w:cs="Arial"/>
          <w:sz w:val="22"/>
          <w:szCs w:val="22"/>
          <w:u w:val="single"/>
          <w:lang w:val="en-GB"/>
        </w:rPr>
      </w:pPr>
    </w:p>
    <w:p w14:paraId="35CE5F6F" w14:textId="79AD3A16" w:rsidR="00A25A04" w:rsidRDefault="005969DA" w:rsidP="00F94D1F">
      <w:pPr>
        <w:rPr>
          <w:rFonts w:ascii="Arial" w:hAnsi="Arial" w:cs="Arial"/>
          <w:sz w:val="22"/>
          <w:szCs w:val="22"/>
          <w:u w:val="single"/>
          <w:lang w:val="en-GB"/>
        </w:rPr>
      </w:pPr>
      <w:r>
        <w:rPr>
          <w:rFonts w:ascii="Arial" w:hAnsi="Arial" w:cs="Arial"/>
          <w:sz w:val="22"/>
          <w:szCs w:val="22"/>
          <w:u w:val="single"/>
          <w:lang w:val="en-GB"/>
        </w:rPr>
        <w:t xml:space="preserve">5.1 </w:t>
      </w:r>
      <w:r w:rsidR="00A25A04" w:rsidRPr="00452CE4">
        <w:rPr>
          <w:rFonts w:ascii="Arial" w:hAnsi="Arial" w:cs="Arial"/>
          <w:sz w:val="22"/>
          <w:szCs w:val="22"/>
          <w:u w:val="single"/>
          <w:lang w:val="en-GB"/>
        </w:rPr>
        <w:t>Top Five Themes</w:t>
      </w:r>
    </w:p>
    <w:p w14:paraId="36CF409D" w14:textId="77777777" w:rsidR="002E4715" w:rsidRDefault="002E4715" w:rsidP="00F94D1F">
      <w:pPr>
        <w:rPr>
          <w:rFonts w:ascii="Arial" w:hAnsi="Arial" w:cs="Arial"/>
          <w:sz w:val="22"/>
          <w:szCs w:val="22"/>
          <w:lang w:val="en-GB"/>
        </w:rPr>
      </w:pPr>
    </w:p>
    <w:p w14:paraId="034F6E49" w14:textId="483C9DFA" w:rsidR="00310132" w:rsidRDefault="002E4715" w:rsidP="00165C20">
      <w:pPr>
        <w:pStyle w:val="ListParagraph"/>
        <w:numPr>
          <w:ilvl w:val="0"/>
          <w:numId w:val="14"/>
        </w:numPr>
        <w:rPr>
          <w:rFonts w:ascii="Arial" w:hAnsi="Arial" w:cs="Arial"/>
          <w:sz w:val="22"/>
          <w:szCs w:val="22"/>
          <w:lang w:val="en-GB"/>
        </w:rPr>
      </w:pPr>
      <w:r>
        <w:rPr>
          <w:rFonts w:ascii="Arial" w:hAnsi="Arial" w:cs="Arial"/>
          <w:sz w:val="22"/>
          <w:szCs w:val="22"/>
          <w:lang w:val="en-GB"/>
        </w:rPr>
        <w:t>C</w:t>
      </w:r>
      <w:r w:rsidRPr="002E4715">
        <w:rPr>
          <w:rFonts w:ascii="Arial" w:hAnsi="Arial" w:cs="Arial"/>
          <w:sz w:val="22"/>
          <w:szCs w:val="22"/>
          <w:lang w:val="en-GB"/>
        </w:rPr>
        <w:t>linical treatment</w:t>
      </w:r>
      <w:r>
        <w:rPr>
          <w:rFonts w:ascii="Arial" w:hAnsi="Arial" w:cs="Arial"/>
          <w:sz w:val="22"/>
          <w:szCs w:val="22"/>
          <w:lang w:val="en-GB"/>
        </w:rPr>
        <w:t xml:space="preserve"> (medical)</w:t>
      </w:r>
    </w:p>
    <w:p w14:paraId="65DEA7E0" w14:textId="2291C7F4" w:rsidR="002E4715" w:rsidRDefault="002E4715" w:rsidP="00165C20">
      <w:pPr>
        <w:pStyle w:val="ListParagraph"/>
        <w:numPr>
          <w:ilvl w:val="0"/>
          <w:numId w:val="14"/>
        </w:numPr>
        <w:rPr>
          <w:rFonts w:ascii="Arial" w:hAnsi="Arial" w:cs="Arial"/>
          <w:sz w:val="22"/>
          <w:szCs w:val="22"/>
          <w:lang w:val="en-GB"/>
        </w:rPr>
      </w:pPr>
      <w:r>
        <w:rPr>
          <w:rFonts w:ascii="Arial" w:hAnsi="Arial" w:cs="Arial"/>
          <w:sz w:val="22"/>
          <w:szCs w:val="22"/>
          <w:lang w:val="en-GB"/>
        </w:rPr>
        <w:t>Communications</w:t>
      </w:r>
    </w:p>
    <w:p w14:paraId="4DB0AC30" w14:textId="3A56424D" w:rsidR="002E4715" w:rsidRDefault="005C0A73" w:rsidP="00165C20">
      <w:pPr>
        <w:pStyle w:val="ListParagraph"/>
        <w:numPr>
          <w:ilvl w:val="0"/>
          <w:numId w:val="14"/>
        </w:numPr>
        <w:rPr>
          <w:rFonts w:ascii="Arial" w:hAnsi="Arial" w:cs="Arial"/>
          <w:sz w:val="22"/>
          <w:szCs w:val="22"/>
          <w:lang w:val="en-GB"/>
        </w:rPr>
      </w:pPr>
      <w:r>
        <w:rPr>
          <w:rFonts w:ascii="Arial" w:hAnsi="Arial" w:cs="Arial"/>
          <w:sz w:val="22"/>
          <w:szCs w:val="22"/>
          <w:lang w:val="en-GB"/>
        </w:rPr>
        <w:t xml:space="preserve">Values </w:t>
      </w:r>
      <w:r w:rsidR="001C0C2C">
        <w:rPr>
          <w:rFonts w:ascii="Arial" w:hAnsi="Arial" w:cs="Arial"/>
          <w:sz w:val="22"/>
          <w:szCs w:val="22"/>
          <w:lang w:val="en-GB"/>
        </w:rPr>
        <w:t>&amp; Behaviour</w:t>
      </w:r>
    </w:p>
    <w:p w14:paraId="1C90DE65" w14:textId="5A8BEECA" w:rsidR="002E4715" w:rsidRDefault="001C0C2C" w:rsidP="00165C20">
      <w:pPr>
        <w:pStyle w:val="ListParagraph"/>
        <w:numPr>
          <w:ilvl w:val="0"/>
          <w:numId w:val="14"/>
        </w:numPr>
        <w:rPr>
          <w:rFonts w:ascii="Arial" w:hAnsi="Arial" w:cs="Arial"/>
          <w:sz w:val="22"/>
          <w:szCs w:val="22"/>
          <w:lang w:val="en-GB"/>
        </w:rPr>
      </w:pPr>
      <w:r>
        <w:rPr>
          <w:rFonts w:ascii="Arial" w:hAnsi="Arial" w:cs="Arial"/>
          <w:sz w:val="22"/>
          <w:szCs w:val="22"/>
          <w:lang w:val="en-GB"/>
        </w:rPr>
        <w:t>Patient Care (including nutrition and hydration)</w:t>
      </w:r>
    </w:p>
    <w:p w14:paraId="3F19382D" w14:textId="610F68B5" w:rsidR="002E4715" w:rsidRPr="002E4715" w:rsidRDefault="002E4715" w:rsidP="00165C20">
      <w:pPr>
        <w:pStyle w:val="ListParagraph"/>
        <w:numPr>
          <w:ilvl w:val="0"/>
          <w:numId w:val="14"/>
        </w:numPr>
        <w:rPr>
          <w:rFonts w:ascii="Arial" w:hAnsi="Arial" w:cs="Arial"/>
          <w:sz w:val="22"/>
          <w:szCs w:val="22"/>
          <w:lang w:val="en-GB"/>
        </w:rPr>
      </w:pPr>
      <w:r>
        <w:rPr>
          <w:rFonts w:ascii="Arial" w:hAnsi="Arial" w:cs="Arial"/>
          <w:sz w:val="22"/>
          <w:szCs w:val="22"/>
          <w:lang w:val="en-GB"/>
        </w:rPr>
        <w:t>Appointments</w:t>
      </w:r>
    </w:p>
    <w:p w14:paraId="492FFABE" w14:textId="77777777" w:rsidR="00096C72" w:rsidRPr="00452CE4" w:rsidRDefault="00096C72" w:rsidP="00F94D1F">
      <w:pPr>
        <w:rPr>
          <w:rFonts w:ascii="Arial" w:hAnsi="Arial" w:cs="Arial"/>
          <w:sz w:val="22"/>
          <w:szCs w:val="22"/>
          <w:u w:val="single"/>
          <w:lang w:val="en-GB"/>
        </w:rPr>
      </w:pPr>
    </w:p>
    <w:p w14:paraId="49152796" w14:textId="00727FA3" w:rsidR="001C224F" w:rsidRPr="00452CE4" w:rsidRDefault="00E10CCE" w:rsidP="002E4715">
      <w:pPr>
        <w:jc w:val="both"/>
        <w:rPr>
          <w:rFonts w:ascii="Arial" w:hAnsi="Arial" w:cs="Arial"/>
          <w:sz w:val="22"/>
          <w:szCs w:val="22"/>
          <w:lang w:val="en-GB"/>
        </w:rPr>
      </w:pPr>
      <w:r>
        <w:rPr>
          <w:rFonts w:ascii="Arial" w:hAnsi="Arial" w:cs="Arial"/>
          <w:sz w:val="22"/>
          <w:szCs w:val="22"/>
          <w:lang w:val="en-GB"/>
        </w:rPr>
        <w:t>T</w:t>
      </w:r>
      <w:r w:rsidR="00442C50">
        <w:rPr>
          <w:rFonts w:ascii="Arial" w:hAnsi="Arial" w:cs="Arial"/>
          <w:sz w:val="22"/>
          <w:szCs w:val="22"/>
          <w:lang w:val="en-GB"/>
        </w:rPr>
        <w:t xml:space="preserve">he top five themes </w:t>
      </w:r>
      <w:r w:rsidR="001C224F">
        <w:rPr>
          <w:rFonts w:ascii="Arial" w:hAnsi="Arial" w:cs="Arial"/>
          <w:sz w:val="22"/>
          <w:szCs w:val="22"/>
          <w:lang w:val="en-GB"/>
        </w:rPr>
        <w:t xml:space="preserve">(set out </w:t>
      </w:r>
      <w:r w:rsidR="002E4715">
        <w:rPr>
          <w:rFonts w:ascii="Arial" w:hAnsi="Arial" w:cs="Arial"/>
          <w:sz w:val="22"/>
          <w:szCs w:val="22"/>
          <w:lang w:val="en-GB"/>
        </w:rPr>
        <w:t>above</w:t>
      </w:r>
      <w:r w:rsidR="001C224F">
        <w:rPr>
          <w:rFonts w:ascii="Arial" w:hAnsi="Arial" w:cs="Arial"/>
          <w:sz w:val="22"/>
          <w:szCs w:val="22"/>
          <w:lang w:val="en-GB"/>
        </w:rPr>
        <w:t xml:space="preserve">) </w:t>
      </w:r>
      <w:r>
        <w:rPr>
          <w:rFonts w:ascii="Arial" w:hAnsi="Arial" w:cs="Arial"/>
          <w:sz w:val="22"/>
          <w:szCs w:val="22"/>
          <w:lang w:val="en-GB"/>
        </w:rPr>
        <w:t xml:space="preserve">are </w:t>
      </w:r>
      <w:r w:rsidR="007E62AF">
        <w:rPr>
          <w:rFonts w:ascii="Arial" w:hAnsi="Arial" w:cs="Arial"/>
          <w:sz w:val="22"/>
          <w:szCs w:val="22"/>
          <w:lang w:val="en-GB"/>
        </w:rPr>
        <w:t xml:space="preserve">largely </w:t>
      </w:r>
      <w:r w:rsidR="00717A79" w:rsidRPr="00452CE4">
        <w:rPr>
          <w:rFonts w:ascii="Arial" w:hAnsi="Arial" w:cs="Arial"/>
          <w:sz w:val="22"/>
          <w:szCs w:val="22"/>
          <w:lang w:val="en-GB"/>
        </w:rPr>
        <w:t xml:space="preserve">consistent with </w:t>
      </w:r>
      <w:r w:rsidR="004416D5">
        <w:rPr>
          <w:rFonts w:ascii="Arial" w:hAnsi="Arial" w:cs="Arial"/>
          <w:sz w:val="22"/>
          <w:szCs w:val="22"/>
          <w:lang w:val="en-GB"/>
        </w:rPr>
        <w:t>the top five themes in 20</w:t>
      </w:r>
      <w:r w:rsidR="00442C50">
        <w:rPr>
          <w:rFonts w:ascii="Arial" w:hAnsi="Arial" w:cs="Arial"/>
          <w:sz w:val="22"/>
          <w:szCs w:val="22"/>
          <w:lang w:val="en-GB"/>
        </w:rPr>
        <w:t>2</w:t>
      </w:r>
      <w:r w:rsidR="007E62AF">
        <w:rPr>
          <w:rFonts w:ascii="Arial" w:hAnsi="Arial" w:cs="Arial"/>
          <w:sz w:val="22"/>
          <w:szCs w:val="22"/>
          <w:lang w:val="en-GB"/>
        </w:rPr>
        <w:t>3/2024</w:t>
      </w:r>
      <w:r w:rsidR="006D45D6">
        <w:rPr>
          <w:rFonts w:ascii="Arial" w:hAnsi="Arial" w:cs="Arial"/>
          <w:sz w:val="22"/>
          <w:szCs w:val="22"/>
          <w:lang w:val="en-GB"/>
        </w:rPr>
        <w:t>.</w:t>
      </w:r>
      <w:r w:rsidR="00EB598C">
        <w:rPr>
          <w:rFonts w:ascii="Arial" w:hAnsi="Arial" w:cs="Arial"/>
          <w:sz w:val="22"/>
          <w:szCs w:val="22"/>
          <w:lang w:val="en-GB"/>
        </w:rPr>
        <w:t xml:space="preserve"> </w:t>
      </w:r>
      <w:r w:rsidR="00933DFE">
        <w:rPr>
          <w:rFonts w:ascii="Arial" w:hAnsi="Arial" w:cs="Arial"/>
          <w:sz w:val="22"/>
          <w:szCs w:val="22"/>
          <w:lang w:val="en-GB"/>
        </w:rPr>
        <w:t xml:space="preserve">Clinical treatment and communications remain the top two categories of complaint received. </w:t>
      </w:r>
      <w:r w:rsidR="00B0382B">
        <w:rPr>
          <w:rFonts w:ascii="Arial" w:hAnsi="Arial" w:cs="Arial"/>
          <w:sz w:val="22"/>
          <w:szCs w:val="22"/>
          <w:lang w:val="en-GB"/>
        </w:rPr>
        <w:t>We received an increased number of complaints relating to values an</w:t>
      </w:r>
      <w:r w:rsidR="00671AAE">
        <w:rPr>
          <w:rFonts w:ascii="Arial" w:hAnsi="Arial" w:cs="Arial"/>
          <w:sz w:val="22"/>
          <w:szCs w:val="22"/>
          <w:lang w:val="en-GB"/>
        </w:rPr>
        <w:t xml:space="preserve">d behaviour in 2024/2025; this becoming the third rather than fourth top category of complaint. </w:t>
      </w:r>
    </w:p>
    <w:p w14:paraId="4B6C5D47" w14:textId="77777777" w:rsidR="00E10CCE" w:rsidRDefault="00E10CCE" w:rsidP="00096C72">
      <w:pPr>
        <w:jc w:val="both"/>
        <w:rPr>
          <w:rFonts w:ascii="Arial" w:hAnsi="Arial" w:cs="Arial"/>
          <w:sz w:val="22"/>
          <w:szCs w:val="22"/>
          <w:lang w:val="en-GB"/>
        </w:rPr>
      </w:pPr>
    </w:p>
    <w:p w14:paraId="0C6975F9" w14:textId="77777777" w:rsidR="00E10CCE" w:rsidRDefault="00E10CCE" w:rsidP="00096C72">
      <w:pPr>
        <w:jc w:val="both"/>
        <w:rPr>
          <w:rFonts w:ascii="Arial" w:hAnsi="Arial" w:cs="Arial"/>
          <w:sz w:val="22"/>
          <w:szCs w:val="22"/>
          <w:lang w:val="en-GB"/>
        </w:rPr>
      </w:pPr>
    </w:p>
    <w:p w14:paraId="56B79C01" w14:textId="4782657C" w:rsidR="005969DA" w:rsidRDefault="00D0192A" w:rsidP="00096C72">
      <w:pPr>
        <w:jc w:val="both"/>
        <w:rPr>
          <w:rFonts w:ascii="Arial" w:hAnsi="Arial" w:cs="Arial"/>
          <w:sz w:val="22"/>
          <w:szCs w:val="22"/>
          <w:u w:val="single"/>
          <w:lang w:val="en-GB"/>
        </w:rPr>
      </w:pPr>
      <w:r>
        <w:rPr>
          <w:rFonts w:ascii="Arial" w:hAnsi="Arial" w:cs="Arial"/>
          <w:sz w:val="22"/>
          <w:szCs w:val="22"/>
          <w:u w:val="single"/>
          <w:lang w:val="en-GB"/>
        </w:rPr>
        <w:t xml:space="preserve">5.2 </w:t>
      </w:r>
      <w:r w:rsidR="0068364B">
        <w:rPr>
          <w:rFonts w:ascii="Arial" w:hAnsi="Arial" w:cs="Arial"/>
          <w:sz w:val="22"/>
          <w:szCs w:val="22"/>
          <w:u w:val="single"/>
          <w:lang w:val="en-GB"/>
        </w:rPr>
        <w:t>Analysis</w:t>
      </w:r>
      <w:r w:rsidR="00F066ED">
        <w:rPr>
          <w:rFonts w:ascii="Arial" w:hAnsi="Arial" w:cs="Arial"/>
          <w:sz w:val="22"/>
          <w:szCs w:val="22"/>
          <w:u w:val="single"/>
          <w:lang w:val="en-GB"/>
        </w:rPr>
        <w:t xml:space="preserve"> - Categories</w:t>
      </w:r>
    </w:p>
    <w:p w14:paraId="6A2A0730" w14:textId="77777777" w:rsidR="00761818" w:rsidRDefault="00761818" w:rsidP="00096C72">
      <w:pPr>
        <w:jc w:val="both"/>
        <w:rPr>
          <w:rFonts w:ascii="Arial" w:hAnsi="Arial" w:cs="Arial"/>
          <w:sz w:val="22"/>
          <w:szCs w:val="22"/>
          <w:u w:val="single"/>
          <w:lang w:val="en-GB"/>
        </w:rPr>
      </w:pPr>
    </w:p>
    <w:p w14:paraId="715AF824" w14:textId="1A8B02E5" w:rsidR="0068364B" w:rsidRDefault="0068364B" w:rsidP="00096C72">
      <w:pPr>
        <w:jc w:val="both"/>
        <w:rPr>
          <w:rFonts w:ascii="Arial" w:hAnsi="Arial" w:cs="Arial"/>
          <w:sz w:val="22"/>
          <w:szCs w:val="22"/>
          <w:lang w:val="en-GB"/>
        </w:rPr>
      </w:pPr>
      <w:r>
        <w:rPr>
          <w:rFonts w:ascii="Arial" w:hAnsi="Arial" w:cs="Arial"/>
          <w:sz w:val="22"/>
          <w:szCs w:val="22"/>
          <w:lang w:val="en-GB"/>
        </w:rPr>
        <w:t xml:space="preserve">There has been a decrease in all categories of complaint, (with the exception of </w:t>
      </w:r>
      <w:proofErr w:type="gramStart"/>
      <w:r>
        <w:rPr>
          <w:rFonts w:ascii="Arial" w:hAnsi="Arial" w:cs="Arial"/>
          <w:sz w:val="22"/>
          <w:szCs w:val="22"/>
          <w:lang w:val="en-GB"/>
        </w:rPr>
        <w:t>End of Life</w:t>
      </w:r>
      <w:proofErr w:type="gramEnd"/>
      <w:r>
        <w:rPr>
          <w:rFonts w:ascii="Arial" w:hAnsi="Arial" w:cs="Arial"/>
          <w:sz w:val="22"/>
          <w:szCs w:val="22"/>
          <w:lang w:val="en-GB"/>
        </w:rPr>
        <w:t xml:space="preserve"> Care) in 2024/2025 when compared with 2023/2024.  One complaint may involve multiple categories and this </w:t>
      </w:r>
      <w:r>
        <w:rPr>
          <w:rFonts w:ascii="Arial" w:hAnsi="Arial" w:cs="Arial"/>
          <w:sz w:val="22"/>
          <w:szCs w:val="22"/>
          <w:lang w:val="en-GB"/>
        </w:rPr>
        <w:lastRenderedPageBreak/>
        <w:t xml:space="preserve">notable decrease is not comparable to the marginal decrease in complaint numbers.  The data therefore suggests there to have been a decrease in the number of complaints with multiple issues.  However, caution is exercised with analysis as the accuracy of the data is </w:t>
      </w:r>
      <w:proofErr w:type="spellStart"/>
      <w:r>
        <w:rPr>
          <w:rFonts w:ascii="Arial" w:hAnsi="Arial" w:cs="Arial"/>
          <w:sz w:val="22"/>
          <w:szCs w:val="22"/>
          <w:lang w:val="en-GB"/>
        </w:rPr>
        <w:t>dependant</w:t>
      </w:r>
      <w:proofErr w:type="spellEnd"/>
      <w:r>
        <w:rPr>
          <w:rFonts w:ascii="Arial" w:hAnsi="Arial" w:cs="Arial"/>
          <w:sz w:val="22"/>
          <w:szCs w:val="22"/>
          <w:lang w:val="en-GB"/>
        </w:rPr>
        <w:t xml:space="preserve"> upon complaints administrators ensuring that all issues are recorded within the complaint case management system. </w:t>
      </w:r>
    </w:p>
    <w:p w14:paraId="6DF302BE" w14:textId="77777777" w:rsidR="0068364B" w:rsidRDefault="0068364B" w:rsidP="00096C72">
      <w:pPr>
        <w:jc w:val="both"/>
        <w:rPr>
          <w:rFonts w:ascii="Arial" w:hAnsi="Arial" w:cs="Arial"/>
          <w:sz w:val="22"/>
          <w:szCs w:val="22"/>
          <w:lang w:val="en-GB"/>
        </w:rPr>
      </w:pPr>
    </w:p>
    <w:p w14:paraId="59C23CA5" w14:textId="26FFBA51" w:rsidR="0068364B" w:rsidRPr="0068364B" w:rsidRDefault="0068364B" w:rsidP="00096C72">
      <w:pPr>
        <w:jc w:val="both"/>
        <w:rPr>
          <w:rFonts w:ascii="Arial" w:hAnsi="Arial" w:cs="Arial"/>
          <w:sz w:val="22"/>
          <w:szCs w:val="22"/>
          <w:lang w:val="en-GB"/>
        </w:rPr>
      </w:pPr>
      <w:r w:rsidRPr="0068364B">
        <w:rPr>
          <w:rFonts w:ascii="Arial" w:hAnsi="Arial" w:cs="Arial"/>
          <w:sz w:val="22"/>
          <w:szCs w:val="22"/>
          <w:lang w:val="en-GB"/>
        </w:rPr>
        <w:t xml:space="preserve">The </w:t>
      </w:r>
      <w:r w:rsidRPr="00C66679">
        <w:rPr>
          <w:rFonts w:ascii="Arial" w:hAnsi="Arial" w:cs="Arial"/>
          <w:b/>
          <w:bCs/>
          <w:i/>
          <w:iCs/>
          <w:sz w:val="22"/>
          <w:szCs w:val="22"/>
          <w:lang w:val="en-GB"/>
        </w:rPr>
        <w:t>“Clinical Treatment”</w:t>
      </w:r>
      <w:r w:rsidRPr="00C66679">
        <w:rPr>
          <w:rFonts w:ascii="Arial" w:hAnsi="Arial" w:cs="Arial"/>
          <w:i/>
          <w:iCs/>
          <w:sz w:val="22"/>
          <w:szCs w:val="22"/>
          <w:lang w:val="en-GB"/>
        </w:rPr>
        <w:t xml:space="preserve"> </w:t>
      </w:r>
      <w:r w:rsidRPr="0068364B">
        <w:rPr>
          <w:rFonts w:ascii="Arial" w:hAnsi="Arial" w:cs="Arial"/>
          <w:sz w:val="22"/>
          <w:szCs w:val="22"/>
          <w:lang w:val="en-GB"/>
        </w:rPr>
        <w:t>category relates to service user concern with diagnosis, access to and timeliness of treatment and complications following surgery</w:t>
      </w:r>
      <w:r>
        <w:rPr>
          <w:rFonts w:ascii="Arial" w:hAnsi="Arial" w:cs="Arial"/>
          <w:sz w:val="22"/>
          <w:szCs w:val="22"/>
          <w:lang w:val="en-GB"/>
        </w:rPr>
        <w:t>. 2024/2025 has seen a notable decrease in the number of complaints within this category.</w:t>
      </w:r>
      <w:r w:rsidRPr="0068364B">
        <w:t xml:space="preserve"> </w:t>
      </w:r>
      <w:r w:rsidRPr="0068364B">
        <w:rPr>
          <w:rFonts w:ascii="Arial" w:hAnsi="Arial" w:cs="Arial"/>
          <w:sz w:val="22"/>
          <w:szCs w:val="22"/>
          <w:lang w:val="en-GB"/>
        </w:rPr>
        <w:t xml:space="preserve">2023/2024 saw a marginal decrease </w:t>
      </w:r>
      <w:r w:rsidR="00B67E4A">
        <w:rPr>
          <w:rFonts w:ascii="Arial" w:hAnsi="Arial" w:cs="Arial"/>
          <w:sz w:val="22"/>
          <w:szCs w:val="22"/>
          <w:lang w:val="en-GB"/>
        </w:rPr>
        <w:t xml:space="preserve">against a </w:t>
      </w:r>
      <w:r w:rsidRPr="0068364B">
        <w:rPr>
          <w:rFonts w:ascii="Arial" w:hAnsi="Arial" w:cs="Arial"/>
          <w:sz w:val="22"/>
          <w:szCs w:val="22"/>
          <w:lang w:val="en-GB"/>
        </w:rPr>
        <w:t>minor increase in 2022/2023</w:t>
      </w:r>
    </w:p>
    <w:p w14:paraId="44E1078D" w14:textId="77777777" w:rsidR="006C33B1" w:rsidRPr="00452CE4" w:rsidRDefault="006C33B1" w:rsidP="00096C72">
      <w:pPr>
        <w:jc w:val="both"/>
        <w:rPr>
          <w:rFonts w:ascii="Arial" w:hAnsi="Arial" w:cs="Arial"/>
          <w:sz w:val="22"/>
          <w:szCs w:val="22"/>
          <w:lang w:val="en-GB"/>
        </w:rPr>
      </w:pPr>
    </w:p>
    <w:p w14:paraId="3D79CAE1" w14:textId="4FFEA229" w:rsidR="00617679" w:rsidRPr="00E23602" w:rsidRDefault="00617679" w:rsidP="00096C72">
      <w:pPr>
        <w:jc w:val="both"/>
        <w:rPr>
          <w:rFonts w:ascii="Arial" w:hAnsi="Arial" w:cs="Arial"/>
          <w:sz w:val="22"/>
          <w:szCs w:val="22"/>
          <w:lang w:val="en-GB"/>
        </w:rPr>
      </w:pPr>
      <w:r>
        <w:rPr>
          <w:rFonts w:ascii="Arial" w:hAnsi="Arial" w:cs="Arial"/>
          <w:sz w:val="22"/>
          <w:szCs w:val="22"/>
          <w:lang w:val="en-GB"/>
        </w:rPr>
        <w:t xml:space="preserve">Complaints in relation to </w:t>
      </w:r>
      <w:r w:rsidRPr="007E1707">
        <w:rPr>
          <w:rFonts w:ascii="Arial" w:hAnsi="Arial" w:cs="Arial"/>
          <w:b/>
          <w:bCs/>
          <w:i/>
          <w:iCs/>
          <w:sz w:val="22"/>
          <w:szCs w:val="22"/>
          <w:lang w:val="en-GB"/>
        </w:rPr>
        <w:t>“</w:t>
      </w:r>
      <w:r w:rsidR="007E1707">
        <w:rPr>
          <w:rFonts w:ascii="Arial" w:hAnsi="Arial" w:cs="Arial"/>
          <w:b/>
          <w:bCs/>
          <w:i/>
          <w:iCs/>
          <w:sz w:val="22"/>
          <w:szCs w:val="22"/>
          <w:lang w:val="en-GB"/>
        </w:rPr>
        <w:t>Res</w:t>
      </w:r>
      <w:r w:rsidRPr="007E1707">
        <w:rPr>
          <w:rFonts w:ascii="Arial" w:hAnsi="Arial" w:cs="Arial"/>
          <w:b/>
          <w:bCs/>
          <w:i/>
          <w:iCs/>
          <w:sz w:val="22"/>
          <w:szCs w:val="22"/>
          <w:lang w:val="en-GB"/>
        </w:rPr>
        <w:t>traint”</w:t>
      </w:r>
      <w:r>
        <w:rPr>
          <w:rFonts w:ascii="Arial" w:hAnsi="Arial" w:cs="Arial"/>
          <w:sz w:val="22"/>
          <w:szCs w:val="22"/>
          <w:lang w:val="en-GB"/>
        </w:rPr>
        <w:t xml:space="preserve"> have </w:t>
      </w:r>
      <w:r w:rsidR="00B67E4A">
        <w:rPr>
          <w:rFonts w:ascii="Arial" w:hAnsi="Arial" w:cs="Arial"/>
          <w:sz w:val="22"/>
          <w:szCs w:val="22"/>
          <w:lang w:val="en-GB"/>
        </w:rPr>
        <w:t xml:space="preserve">decreased considerably in 2024/2025.  It is of note that there was a notable </w:t>
      </w:r>
      <w:r>
        <w:rPr>
          <w:rFonts w:ascii="Arial" w:hAnsi="Arial" w:cs="Arial"/>
          <w:sz w:val="22"/>
          <w:szCs w:val="22"/>
          <w:lang w:val="en-GB"/>
        </w:rPr>
        <w:t>increase in</w:t>
      </w:r>
      <w:r w:rsidR="00B67E4A">
        <w:rPr>
          <w:rFonts w:ascii="Arial" w:hAnsi="Arial" w:cs="Arial"/>
          <w:sz w:val="22"/>
          <w:szCs w:val="22"/>
          <w:lang w:val="en-GB"/>
        </w:rPr>
        <w:t xml:space="preserve"> this category in</w:t>
      </w:r>
      <w:r>
        <w:rPr>
          <w:rFonts w:ascii="Arial" w:hAnsi="Arial" w:cs="Arial"/>
          <w:sz w:val="22"/>
          <w:szCs w:val="22"/>
          <w:lang w:val="en-GB"/>
        </w:rPr>
        <w:t xml:space="preserve"> 2023/2024.  </w:t>
      </w:r>
      <w:r w:rsidR="00B67E4A">
        <w:rPr>
          <w:rFonts w:ascii="Arial" w:hAnsi="Arial" w:cs="Arial"/>
          <w:sz w:val="22"/>
          <w:szCs w:val="22"/>
          <w:lang w:val="en-GB"/>
        </w:rPr>
        <w:t xml:space="preserve">The Trust undertook </w:t>
      </w:r>
      <w:r w:rsidR="00B67E4A" w:rsidRPr="00B67E4A">
        <w:rPr>
          <w:rFonts w:ascii="Arial" w:hAnsi="Arial" w:cs="Arial"/>
          <w:sz w:val="22"/>
          <w:szCs w:val="22"/>
          <w:lang w:val="en-GB"/>
        </w:rPr>
        <w:t xml:space="preserve">a review of its security services and </w:t>
      </w:r>
      <w:r w:rsidR="00B67E4A">
        <w:rPr>
          <w:rFonts w:ascii="Arial" w:hAnsi="Arial" w:cs="Arial"/>
          <w:sz w:val="22"/>
          <w:szCs w:val="22"/>
          <w:lang w:val="en-GB"/>
        </w:rPr>
        <w:t xml:space="preserve">rolled out training in </w:t>
      </w:r>
      <w:r w:rsidR="00B67E4A" w:rsidRPr="00B67E4A">
        <w:rPr>
          <w:rFonts w:ascii="Arial" w:hAnsi="Arial" w:cs="Arial"/>
          <w:sz w:val="22"/>
          <w:szCs w:val="22"/>
          <w:lang w:val="en-GB"/>
        </w:rPr>
        <w:t>restraint</w:t>
      </w:r>
      <w:r w:rsidR="00B67E4A">
        <w:rPr>
          <w:rFonts w:ascii="Arial" w:hAnsi="Arial" w:cs="Arial"/>
          <w:sz w:val="22"/>
          <w:szCs w:val="22"/>
          <w:lang w:val="en-GB"/>
        </w:rPr>
        <w:t xml:space="preserve">.  The improvement noted in this category of complaint has likely been positively impacted by this review and additional training. </w:t>
      </w:r>
    </w:p>
    <w:p w14:paraId="46736EA4" w14:textId="4311888E" w:rsidR="000960A1" w:rsidRDefault="000960A1" w:rsidP="00096C72">
      <w:pPr>
        <w:jc w:val="both"/>
        <w:rPr>
          <w:rFonts w:ascii="Arial" w:hAnsi="Arial" w:cs="Arial"/>
          <w:sz w:val="22"/>
          <w:szCs w:val="22"/>
          <w:lang w:val="en-GB"/>
        </w:rPr>
      </w:pPr>
      <w:bookmarkStart w:id="4" w:name="_Hlk127027441"/>
    </w:p>
    <w:bookmarkEnd w:id="4"/>
    <w:p w14:paraId="0BFD1C39" w14:textId="43664C18" w:rsidR="005969DA" w:rsidRDefault="005969DA" w:rsidP="005969DA">
      <w:pPr>
        <w:jc w:val="both"/>
        <w:rPr>
          <w:rFonts w:ascii="Arial" w:hAnsi="Arial" w:cs="Arial"/>
          <w:sz w:val="22"/>
          <w:szCs w:val="22"/>
          <w:lang w:val="en-GB"/>
        </w:rPr>
      </w:pPr>
      <w:r>
        <w:rPr>
          <w:rFonts w:ascii="Arial" w:hAnsi="Arial" w:cs="Arial"/>
          <w:sz w:val="22"/>
          <w:szCs w:val="22"/>
          <w:lang w:val="en-GB"/>
        </w:rPr>
        <w:t xml:space="preserve">The </w:t>
      </w:r>
      <w:r w:rsidR="006D7B79">
        <w:rPr>
          <w:rFonts w:ascii="Arial" w:hAnsi="Arial" w:cs="Arial"/>
          <w:sz w:val="22"/>
          <w:szCs w:val="22"/>
          <w:lang w:val="en-GB"/>
        </w:rPr>
        <w:t>“</w:t>
      </w:r>
      <w:r w:rsidRPr="008202AB">
        <w:rPr>
          <w:rFonts w:ascii="Arial" w:hAnsi="Arial" w:cs="Arial"/>
          <w:b/>
          <w:i/>
          <w:sz w:val="22"/>
          <w:szCs w:val="22"/>
          <w:lang w:val="en-GB"/>
        </w:rPr>
        <w:t>Patient Care</w:t>
      </w:r>
      <w:r w:rsidR="006D7B79">
        <w:rPr>
          <w:rFonts w:ascii="Arial" w:hAnsi="Arial" w:cs="Arial"/>
          <w:b/>
          <w:i/>
          <w:sz w:val="22"/>
          <w:szCs w:val="22"/>
          <w:lang w:val="en-GB"/>
        </w:rPr>
        <w:t>”</w:t>
      </w:r>
      <w:r>
        <w:rPr>
          <w:rFonts w:ascii="Arial" w:hAnsi="Arial" w:cs="Arial"/>
          <w:sz w:val="22"/>
          <w:szCs w:val="22"/>
          <w:lang w:val="en-GB"/>
        </w:rPr>
        <w:t xml:space="preserve"> category </w:t>
      </w:r>
      <w:r w:rsidRPr="004537C7">
        <w:rPr>
          <w:rFonts w:ascii="Arial" w:hAnsi="Arial" w:cs="Arial"/>
          <w:sz w:val="22"/>
          <w:szCs w:val="22"/>
          <w:lang w:val="en-GB"/>
        </w:rPr>
        <w:t xml:space="preserve">covers much of the general nursing care, including providing help to eat meals if needed, answering the call bell, responding to the needs of the patient, providing help with washing and personal hygiene. </w:t>
      </w:r>
      <w:r w:rsidR="00B67E4A">
        <w:rPr>
          <w:rFonts w:ascii="Arial" w:hAnsi="Arial" w:cs="Arial"/>
          <w:sz w:val="22"/>
          <w:szCs w:val="22"/>
          <w:lang w:val="en-GB"/>
        </w:rPr>
        <w:t>The moderate</w:t>
      </w:r>
      <w:r w:rsidR="001228C2">
        <w:rPr>
          <w:rFonts w:ascii="Arial" w:hAnsi="Arial" w:cs="Arial"/>
          <w:sz w:val="22"/>
          <w:szCs w:val="22"/>
          <w:lang w:val="en-GB"/>
        </w:rPr>
        <w:t xml:space="preserve"> decreased </w:t>
      </w:r>
      <w:r w:rsidR="007025D9">
        <w:rPr>
          <w:rFonts w:ascii="Arial" w:hAnsi="Arial" w:cs="Arial"/>
          <w:sz w:val="22"/>
          <w:szCs w:val="22"/>
          <w:lang w:val="en-GB"/>
        </w:rPr>
        <w:t xml:space="preserve">in </w:t>
      </w:r>
      <w:r w:rsidR="00B67E4A">
        <w:rPr>
          <w:rFonts w:ascii="Arial" w:hAnsi="Arial" w:cs="Arial"/>
          <w:sz w:val="22"/>
          <w:szCs w:val="22"/>
          <w:lang w:val="en-GB"/>
        </w:rPr>
        <w:t>concerns within this category noted in 2023/2024 has continued into 2024/2025</w:t>
      </w:r>
      <w:r w:rsidR="00D04830">
        <w:rPr>
          <w:rFonts w:ascii="Arial" w:hAnsi="Arial" w:cs="Arial"/>
          <w:sz w:val="22"/>
          <w:szCs w:val="22"/>
          <w:lang w:val="en-GB"/>
        </w:rPr>
        <w:t>.</w:t>
      </w:r>
    </w:p>
    <w:p w14:paraId="05A3D421" w14:textId="77777777" w:rsidR="00684EFC" w:rsidRDefault="00684EFC" w:rsidP="000152F1">
      <w:pPr>
        <w:jc w:val="both"/>
        <w:rPr>
          <w:rFonts w:ascii="Arial" w:hAnsi="Arial" w:cs="Arial"/>
          <w:sz w:val="22"/>
          <w:szCs w:val="22"/>
          <w:lang w:val="en-GB"/>
        </w:rPr>
      </w:pPr>
    </w:p>
    <w:p w14:paraId="4C1D0220" w14:textId="385F4A34" w:rsidR="00C448E1" w:rsidRDefault="00B67E4A" w:rsidP="00C448E1">
      <w:pPr>
        <w:jc w:val="both"/>
        <w:rPr>
          <w:rFonts w:ascii="Arial" w:hAnsi="Arial" w:cs="Arial"/>
          <w:sz w:val="22"/>
          <w:szCs w:val="22"/>
          <w:lang w:val="en-GB"/>
        </w:rPr>
      </w:pPr>
      <w:r>
        <w:rPr>
          <w:rFonts w:ascii="Arial" w:hAnsi="Arial" w:cs="Arial"/>
          <w:sz w:val="22"/>
          <w:szCs w:val="22"/>
          <w:lang w:val="en-GB"/>
        </w:rPr>
        <w:t>The moderate decrease in c</w:t>
      </w:r>
      <w:r w:rsidR="00C448E1">
        <w:rPr>
          <w:rFonts w:ascii="Arial" w:hAnsi="Arial" w:cs="Arial"/>
          <w:sz w:val="22"/>
          <w:szCs w:val="22"/>
          <w:lang w:val="en-GB"/>
        </w:rPr>
        <w:t xml:space="preserve">omplaints relating to </w:t>
      </w:r>
      <w:r w:rsidR="00C448E1" w:rsidRPr="00C66679">
        <w:rPr>
          <w:rFonts w:ascii="Arial" w:hAnsi="Arial" w:cs="Arial"/>
          <w:b/>
          <w:i/>
          <w:iCs/>
          <w:sz w:val="22"/>
          <w:szCs w:val="22"/>
          <w:lang w:val="en-GB"/>
        </w:rPr>
        <w:t>“Appointment times”</w:t>
      </w:r>
      <w:r w:rsidR="00C448E1">
        <w:rPr>
          <w:rFonts w:ascii="Arial" w:hAnsi="Arial" w:cs="Arial"/>
          <w:sz w:val="22"/>
          <w:szCs w:val="22"/>
          <w:lang w:val="en-GB"/>
        </w:rPr>
        <w:t xml:space="preserve"> </w:t>
      </w:r>
      <w:r>
        <w:rPr>
          <w:rFonts w:ascii="Arial" w:hAnsi="Arial" w:cs="Arial"/>
          <w:sz w:val="22"/>
          <w:szCs w:val="22"/>
          <w:lang w:val="en-GB"/>
        </w:rPr>
        <w:t>seen in 2023/2024 has continued into 2024/2025. This category of complaint</w:t>
      </w:r>
      <w:r w:rsidR="001228C2">
        <w:rPr>
          <w:rFonts w:ascii="Arial" w:hAnsi="Arial" w:cs="Arial"/>
          <w:sz w:val="22"/>
          <w:szCs w:val="22"/>
          <w:lang w:val="en-GB"/>
        </w:rPr>
        <w:t xml:space="preserve"> had </w:t>
      </w:r>
      <w:r w:rsidR="00C448E1">
        <w:rPr>
          <w:rFonts w:ascii="Arial" w:hAnsi="Arial" w:cs="Arial"/>
          <w:sz w:val="22"/>
          <w:szCs w:val="22"/>
          <w:lang w:val="en-GB"/>
        </w:rPr>
        <w:t>increased considerably in 202</w:t>
      </w:r>
      <w:r w:rsidR="00D04830">
        <w:rPr>
          <w:rFonts w:ascii="Arial" w:hAnsi="Arial" w:cs="Arial"/>
          <w:sz w:val="22"/>
          <w:szCs w:val="22"/>
          <w:lang w:val="en-GB"/>
        </w:rPr>
        <w:t>2</w:t>
      </w:r>
      <w:r w:rsidR="00C448E1">
        <w:rPr>
          <w:rFonts w:ascii="Arial" w:hAnsi="Arial" w:cs="Arial"/>
          <w:sz w:val="22"/>
          <w:szCs w:val="22"/>
          <w:lang w:val="en-GB"/>
        </w:rPr>
        <w:t>/202</w:t>
      </w:r>
      <w:r w:rsidR="00D04830">
        <w:rPr>
          <w:rFonts w:ascii="Arial" w:hAnsi="Arial" w:cs="Arial"/>
          <w:sz w:val="22"/>
          <w:szCs w:val="22"/>
          <w:lang w:val="en-GB"/>
        </w:rPr>
        <w:t>3</w:t>
      </w:r>
      <w:r w:rsidR="00C448E1">
        <w:rPr>
          <w:rFonts w:ascii="Arial" w:hAnsi="Arial" w:cs="Arial"/>
          <w:sz w:val="22"/>
          <w:szCs w:val="22"/>
          <w:lang w:val="en-GB"/>
        </w:rPr>
        <w:t xml:space="preserve">. </w:t>
      </w:r>
      <w:r>
        <w:rPr>
          <w:rFonts w:ascii="Arial" w:hAnsi="Arial" w:cs="Arial"/>
          <w:sz w:val="22"/>
          <w:szCs w:val="22"/>
          <w:lang w:val="en-GB"/>
        </w:rPr>
        <w:t xml:space="preserve">Whist complaints relating to appointments, remain in the top five, the continuing decrease can likely be attributed to the </w:t>
      </w:r>
      <w:r w:rsidR="004D40DC">
        <w:rPr>
          <w:rFonts w:ascii="Arial" w:hAnsi="Arial" w:cs="Arial"/>
          <w:sz w:val="22"/>
          <w:szCs w:val="22"/>
          <w:lang w:val="en-GB"/>
        </w:rPr>
        <w:t xml:space="preserve">supported provided by the </w:t>
      </w:r>
      <w:r>
        <w:rPr>
          <w:rFonts w:ascii="Arial" w:hAnsi="Arial" w:cs="Arial"/>
          <w:sz w:val="22"/>
          <w:szCs w:val="22"/>
          <w:lang w:val="en-GB"/>
        </w:rPr>
        <w:t xml:space="preserve">Patient Advice and Liaison team </w:t>
      </w:r>
      <w:r w:rsidR="004D40DC">
        <w:rPr>
          <w:rFonts w:ascii="Arial" w:hAnsi="Arial" w:cs="Arial"/>
          <w:sz w:val="22"/>
          <w:szCs w:val="22"/>
          <w:lang w:val="en-GB"/>
        </w:rPr>
        <w:t xml:space="preserve">in chasing and arranging appointments, </w:t>
      </w:r>
      <w:r>
        <w:rPr>
          <w:rFonts w:ascii="Arial" w:hAnsi="Arial" w:cs="Arial"/>
          <w:sz w:val="22"/>
          <w:szCs w:val="22"/>
          <w:lang w:val="en-GB"/>
        </w:rPr>
        <w:t>a</w:t>
      </w:r>
      <w:r w:rsidR="004D40DC">
        <w:rPr>
          <w:rFonts w:ascii="Arial" w:hAnsi="Arial" w:cs="Arial"/>
          <w:sz w:val="22"/>
          <w:szCs w:val="22"/>
          <w:lang w:val="en-GB"/>
        </w:rPr>
        <w:t>longside</w:t>
      </w:r>
      <w:r>
        <w:rPr>
          <w:rFonts w:ascii="Arial" w:hAnsi="Arial" w:cs="Arial"/>
          <w:sz w:val="22"/>
          <w:szCs w:val="22"/>
          <w:lang w:val="en-GB"/>
        </w:rPr>
        <w:t xml:space="preserve"> the introduction of the electronic patient portal. </w:t>
      </w:r>
      <w:r w:rsidR="00C448E1">
        <w:rPr>
          <w:rFonts w:ascii="Arial" w:hAnsi="Arial" w:cs="Arial"/>
          <w:sz w:val="22"/>
          <w:szCs w:val="22"/>
          <w:lang w:val="en-GB"/>
        </w:rPr>
        <w:t xml:space="preserve"> This category of complaint commonly relates to </w:t>
      </w:r>
      <w:r w:rsidR="00C448E1" w:rsidRPr="00452CE4">
        <w:rPr>
          <w:rFonts w:ascii="Arial" w:hAnsi="Arial" w:cs="Arial"/>
          <w:sz w:val="22"/>
          <w:szCs w:val="22"/>
          <w:lang w:val="en-GB"/>
        </w:rPr>
        <w:t xml:space="preserve">administration of appointment letters, including not being sent/ received or not sent in a timely way. </w:t>
      </w:r>
    </w:p>
    <w:p w14:paraId="45E9A72B" w14:textId="77777777" w:rsidR="00246C63" w:rsidRPr="00D22787" w:rsidRDefault="00246C63" w:rsidP="00D22787">
      <w:pPr>
        <w:jc w:val="both"/>
        <w:rPr>
          <w:rFonts w:ascii="Arial" w:hAnsi="Arial" w:cs="Arial"/>
          <w:sz w:val="22"/>
          <w:szCs w:val="22"/>
          <w:lang w:val="en-GB"/>
        </w:rPr>
      </w:pPr>
      <w:bookmarkStart w:id="5" w:name="_Hlk175833659"/>
    </w:p>
    <w:bookmarkEnd w:id="5"/>
    <w:p w14:paraId="71EB7262" w14:textId="7DB37E1C" w:rsidR="00246C63" w:rsidRPr="00D22787" w:rsidRDefault="00246C63" w:rsidP="002259DD">
      <w:pPr>
        <w:jc w:val="both"/>
        <w:rPr>
          <w:rFonts w:ascii="Arial" w:hAnsi="Arial" w:cs="Arial"/>
          <w:b/>
          <w:bCs/>
          <w:i/>
          <w:iCs/>
          <w:sz w:val="22"/>
          <w:szCs w:val="22"/>
          <w:lang w:val="en-GB"/>
        </w:rPr>
      </w:pPr>
      <w:r w:rsidRPr="00D56E25">
        <w:rPr>
          <w:rFonts w:ascii="Arial" w:hAnsi="Arial" w:cs="Arial"/>
          <w:sz w:val="22"/>
          <w:szCs w:val="22"/>
          <w:lang w:val="en-GB"/>
        </w:rPr>
        <w:t xml:space="preserve">Concerns reported in the </w:t>
      </w:r>
      <w:r w:rsidRPr="00D56E25">
        <w:rPr>
          <w:rFonts w:ascii="Arial" w:hAnsi="Arial" w:cs="Arial"/>
          <w:i/>
          <w:iCs/>
          <w:sz w:val="22"/>
          <w:szCs w:val="22"/>
          <w:lang w:val="en-GB"/>
        </w:rPr>
        <w:t>“</w:t>
      </w:r>
      <w:r w:rsidRPr="00D56E25">
        <w:rPr>
          <w:rFonts w:ascii="Arial" w:hAnsi="Arial" w:cs="Arial"/>
          <w:b/>
          <w:bCs/>
          <w:i/>
          <w:iCs/>
          <w:sz w:val="22"/>
          <w:szCs w:val="22"/>
          <w:lang w:val="en-GB"/>
        </w:rPr>
        <w:t>Communications”</w:t>
      </w:r>
      <w:r w:rsidRPr="00D56E25">
        <w:rPr>
          <w:rFonts w:ascii="Arial" w:hAnsi="Arial" w:cs="Arial"/>
          <w:sz w:val="22"/>
          <w:szCs w:val="22"/>
          <w:lang w:val="en-GB"/>
        </w:rPr>
        <w:t xml:space="preserve"> category generally relate to communication between staff and patients or staff and relatives/ carers/ visitors. This can include a lack of communication, incorrect method of communication, and timeliness of communications. </w:t>
      </w:r>
      <w:r w:rsidR="00B67E4A">
        <w:rPr>
          <w:rFonts w:ascii="Arial" w:hAnsi="Arial" w:cs="Arial"/>
          <w:sz w:val="22"/>
          <w:szCs w:val="22"/>
          <w:lang w:val="en-GB"/>
        </w:rPr>
        <w:t xml:space="preserve">The number of complaints recorded against this category in 2024/2025 is consistent with the number reported in 2023/2024. </w:t>
      </w:r>
    </w:p>
    <w:p w14:paraId="7293A981" w14:textId="6CD46416" w:rsidR="00246C63" w:rsidRPr="00D56E25" w:rsidRDefault="00246C63" w:rsidP="00D218D4">
      <w:pPr>
        <w:rPr>
          <w:rFonts w:ascii="Arial" w:hAnsi="Arial" w:cs="Arial"/>
          <w:sz w:val="22"/>
          <w:szCs w:val="22"/>
          <w:lang w:val="en-GB"/>
        </w:rPr>
      </w:pPr>
    </w:p>
    <w:p w14:paraId="53A0B45C" w14:textId="470AC780" w:rsidR="00246C63" w:rsidRDefault="00A30A7A" w:rsidP="00D218D4">
      <w:pPr>
        <w:rPr>
          <w:rFonts w:ascii="Arial" w:hAnsi="Arial" w:cs="Arial"/>
          <w:sz w:val="22"/>
          <w:szCs w:val="22"/>
          <w:lang w:val="en-GB"/>
        </w:rPr>
      </w:pPr>
      <w:r>
        <w:rPr>
          <w:rFonts w:ascii="Arial" w:hAnsi="Arial" w:cs="Arial"/>
          <w:sz w:val="22"/>
          <w:szCs w:val="22"/>
          <w:lang w:val="en-GB"/>
        </w:rPr>
        <w:t>Concerns</w:t>
      </w:r>
      <w:r w:rsidR="00B67E4A">
        <w:rPr>
          <w:rFonts w:ascii="Arial" w:hAnsi="Arial" w:cs="Arial"/>
          <w:sz w:val="22"/>
          <w:szCs w:val="22"/>
          <w:lang w:val="en-GB"/>
        </w:rPr>
        <w:t xml:space="preserve"> relating to </w:t>
      </w:r>
      <w:proofErr w:type="gramStart"/>
      <w:r w:rsidR="00B67E4A">
        <w:rPr>
          <w:rFonts w:ascii="Arial" w:hAnsi="Arial" w:cs="Arial"/>
          <w:sz w:val="22"/>
          <w:szCs w:val="22"/>
          <w:lang w:val="en-GB"/>
        </w:rPr>
        <w:t>End of Life</w:t>
      </w:r>
      <w:proofErr w:type="gramEnd"/>
      <w:r w:rsidR="00B67E4A">
        <w:rPr>
          <w:rFonts w:ascii="Arial" w:hAnsi="Arial" w:cs="Arial"/>
          <w:sz w:val="22"/>
          <w:szCs w:val="22"/>
          <w:lang w:val="en-GB"/>
        </w:rPr>
        <w:t xml:space="preserve"> Care</w:t>
      </w:r>
      <w:r>
        <w:rPr>
          <w:rFonts w:ascii="Arial" w:hAnsi="Arial" w:cs="Arial"/>
          <w:sz w:val="22"/>
          <w:szCs w:val="22"/>
          <w:lang w:val="en-GB"/>
        </w:rPr>
        <w:t xml:space="preserve"> increased in 2024/2025.  This category of complaint had seen a decrease in 2023/2024. </w:t>
      </w:r>
      <w:r w:rsidR="003B060A">
        <w:rPr>
          <w:rFonts w:ascii="Arial" w:hAnsi="Arial" w:cs="Arial"/>
          <w:sz w:val="22"/>
          <w:szCs w:val="22"/>
          <w:lang w:val="en-GB"/>
        </w:rPr>
        <w:t xml:space="preserve">The complaints relating to this category will be shared with the Trust’s End of Life Improvement Group. </w:t>
      </w:r>
    </w:p>
    <w:p w14:paraId="42F0799C" w14:textId="5837BC35" w:rsidR="00F066ED" w:rsidRDefault="00F066ED" w:rsidP="00C66679">
      <w:pPr>
        <w:rPr>
          <w:rFonts w:ascii="Arial" w:hAnsi="Arial" w:cs="Arial"/>
          <w:sz w:val="22"/>
          <w:szCs w:val="22"/>
          <w:lang w:val="en-GB"/>
        </w:rPr>
      </w:pPr>
    </w:p>
    <w:p w14:paraId="07B1B814" w14:textId="77777777" w:rsidR="00246C63" w:rsidRDefault="00246C63" w:rsidP="00D218D4">
      <w:pPr>
        <w:rPr>
          <w:rFonts w:ascii="Arial" w:hAnsi="Arial" w:cs="Arial"/>
          <w:sz w:val="22"/>
          <w:szCs w:val="22"/>
          <w:lang w:val="en-GB"/>
        </w:rPr>
      </w:pPr>
    </w:p>
    <w:p w14:paraId="2ED9F088" w14:textId="5A0FCB48" w:rsidR="00646B12" w:rsidRPr="00C85846" w:rsidRDefault="00D218D4" w:rsidP="00D218D4">
      <w:pPr>
        <w:rPr>
          <w:rFonts w:ascii="Arial" w:hAnsi="Arial" w:cs="Arial"/>
          <w:b/>
          <w:sz w:val="22"/>
          <w:szCs w:val="22"/>
          <w:lang w:val="en-GB"/>
        </w:rPr>
      </w:pPr>
      <w:r w:rsidRPr="00C85846">
        <w:rPr>
          <w:rFonts w:ascii="Arial" w:hAnsi="Arial" w:cs="Arial"/>
          <w:b/>
          <w:sz w:val="22"/>
          <w:szCs w:val="22"/>
          <w:lang w:val="en-GB"/>
        </w:rPr>
        <w:t xml:space="preserve">6. </w:t>
      </w:r>
      <w:r w:rsidR="00F7703A" w:rsidRPr="00C85846">
        <w:rPr>
          <w:rFonts w:ascii="Arial" w:hAnsi="Arial" w:cs="Arial"/>
          <w:b/>
          <w:sz w:val="22"/>
          <w:szCs w:val="22"/>
          <w:lang w:val="en-GB"/>
        </w:rPr>
        <w:t xml:space="preserve">Performance in </w:t>
      </w:r>
      <w:r w:rsidR="00950F24">
        <w:rPr>
          <w:rFonts w:ascii="Arial" w:hAnsi="Arial" w:cs="Arial"/>
          <w:b/>
          <w:sz w:val="22"/>
          <w:szCs w:val="22"/>
          <w:lang w:val="en-GB"/>
        </w:rPr>
        <w:t>R</w:t>
      </w:r>
      <w:r w:rsidR="00F7703A" w:rsidRPr="00C85846">
        <w:rPr>
          <w:rFonts w:ascii="Arial" w:hAnsi="Arial" w:cs="Arial"/>
          <w:b/>
          <w:sz w:val="22"/>
          <w:szCs w:val="22"/>
          <w:lang w:val="en-GB"/>
        </w:rPr>
        <w:t xml:space="preserve">esponding to </w:t>
      </w:r>
      <w:r w:rsidR="00950F24">
        <w:rPr>
          <w:rFonts w:ascii="Arial" w:hAnsi="Arial" w:cs="Arial"/>
          <w:b/>
          <w:sz w:val="22"/>
          <w:szCs w:val="22"/>
          <w:lang w:val="en-GB"/>
        </w:rPr>
        <w:t>C</w:t>
      </w:r>
      <w:r w:rsidR="00F7703A" w:rsidRPr="00C85846">
        <w:rPr>
          <w:rFonts w:ascii="Arial" w:hAnsi="Arial" w:cs="Arial"/>
          <w:b/>
          <w:sz w:val="22"/>
          <w:szCs w:val="22"/>
          <w:lang w:val="en-GB"/>
        </w:rPr>
        <w:t>omplaints</w:t>
      </w:r>
    </w:p>
    <w:p w14:paraId="79ED4D92" w14:textId="77777777" w:rsidR="00096C72" w:rsidRPr="00C85846" w:rsidRDefault="00096C72" w:rsidP="00096C72">
      <w:pPr>
        <w:pStyle w:val="ListParagraph"/>
        <w:rPr>
          <w:rFonts w:ascii="Arial" w:hAnsi="Arial" w:cs="Arial"/>
          <w:b/>
          <w:sz w:val="22"/>
          <w:szCs w:val="22"/>
          <w:lang w:val="en-GB"/>
        </w:rPr>
      </w:pPr>
    </w:p>
    <w:p w14:paraId="1FC5D4C6" w14:textId="77777777" w:rsidR="00D07BA2" w:rsidRPr="00C85846" w:rsidRDefault="00F7703A" w:rsidP="00096C72">
      <w:pPr>
        <w:jc w:val="both"/>
        <w:rPr>
          <w:rFonts w:ascii="Arial" w:hAnsi="Arial" w:cs="Arial"/>
          <w:sz w:val="22"/>
          <w:szCs w:val="22"/>
          <w:lang w:val="en-GB"/>
        </w:rPr>
      </w:pPr>
      <w:r w:rsidRPr="00C85846">
        <w:rPr>
          <w:rFonts w:ascii="Arial" w:hAnsi="Arial" w:cs="Arial"/>
          <w:sz w:val="22"/>
          <w:szCs w:val="22"/>
          <w:lang w:val="en-GB"/>
        </w:rPr>
        <w:t>In addition to monitoring the number of complaints received by our Trust we also monitor our performance against nationally and locally set timescales (</w:t>
      </w:r>
      <w:r w:rsidR="00DB57BD" w:rsidRPr="00C85846">
        <w:rPr>
          <w:rFonts w:ascii="Arial" w:hAnsi="Arial" w:cs="Arial"/>
          <w:sz w:val="22"/>
          <w:szCs w:val="22"/>
          <w:lang w:val="en-GB"/>
        </w:rPr>
        <w:t>3</w:t>
      </w:r>
      <w:r w:rsidRPr="00C85846">
        <w:rPr>
          <w:rFonts w:ascii="Arial" w:hAnsi="Arial" w:cs="Arial"/>
          <w:sz w:val="22"/>
          <w:szCs w:val="22"/>
          <w:lang w:val="en-GB"/>
        </w:rPr>
        <w:t xml:space="preserve"> working days for an acknowled</w:t>
      </w:r>
      <w:r w:rsidR="00D70815" w:rsidRPr="00C85846">
        <w:rPr>
          <w:rFonts w:ascii="Arial" w:hAnsi="Arial" w:cs="Arial"/>
          <w:sz w:val="22"/>
          <w:szCs w:val="22"/>
          <w:lang w:val="en-GB"/>
        </w:rPr>
        <w:t>gement – nationally set and 35 or 65 working days for a response – locally set</w:t>
      </w:r>
      <w:r w:rsidR="004537C7" w:rsidRPr="00C85846">
        <w:rPr>
          <w:rFonts w:ascii="Arial" w:hAnsi="Arial" w:cs="Arial"/>
          <w:sz w:val="22"/>
          <w:szCs w:val="22"/>
          <w:lang w:val="en-GB"/>
        </w:rPr>
        <w:t>)</w:t>
      </w:r>
      <w:r w:rsidRPr="00C85846">
        <w:rPr>
          <w:rFonts w:ascii="Arial" w:hAnsi="Arial" w:cs="Arial"/>
          <w:sz w:val="22"/>
          <w:szCs w:val="22"/>
          <w:lang w:val="en-GB"/>
        </w:rPr>
        <w:t xml:space="preserve">. </w:t>
      </w:r>
    </w:p>
    <w:p w14:paraId="038077CA" w14:textId="77777777" w:rsidR="00096C72" w:rsidRPr="00C85846" w:rsidRDefault="00096C72" w:rsidP="00096C72">
      <w:pPr>
        <w:jc w:val="both"/>
        <w:rPr>
          <w:rFonts w:ascii="Arial" w:hAnsi="Arial" w:cs="Arial"/>
          <w:sz w:val="22"/>
          <w:szCs w:val="22"/>
          <w:lang w:val="en-GB"/>
        </w:rPr>
      </w:pPr>
    </w:p>
    <w:p w14:paraId="72803B46" w14:textId="77777777" w:rsidR="00F439CA" w:rsidRPr="004537C7" w:rsidRDefault="00F7703A" w:rsidP="00096C72">
      <w:pPr>
        <w:jc w:val="both"/>
        <w:rPr>
          <w:rFonts w:ascii="Arial" w:hAnsi="Arial" w:cs="Arial"/>
          <w:sz w:val="22"/>
          <w:szCs w:val="22"/>
          <w:lang w:val="en-GB"/>
        </w:rPr>
      </w:pPr>
      <w:r w:rsidRPr="00C85846">
        <w:rPr>
          <w:rFonts w:ascii="Arial" w:hAnsi="Arial" w:cs="Arial"/>
          <w:sz w:val="22"/>
          <w:szCs w:val="22"/>
          <w:lang w:val="en-GB"/>
        </w:rPr>
        <w:t>Guidance from the Parliamentary and Health Service Ombudsman recommend</w:t>
      </w:r>
      <w:r w:rsidR="00D218D4" w:rsidRPr="00C85846">
        <w:rPr>
          <w:rFonts w:ascii="Arial" w:hAnsi="Arial" w:cs="Arial"/>
          <w:sz w:val="22"/>
          <w:szCs w:val="22"/>
          <w:lang w:val="en-GB"/>
        </w:rPr>
        <w:t>s</w:t>
      </w:r>
      <w:r w:rsidRPr="00C85846">
        <w:rPr>
          <w:rFonts w:ascii="Arial" w:hAnsi="Arial" w:cs="Arial"/>
          <w:sz w:val="22"/>
          <w:szCs w:val="22"/>
          <w:lang w:val="en-GB"/>
        </w:rPr>
        <w:t xml:space="preserve"> t</w:t>
      </w:r>
      <w:r w:rsidRPr="004537C7">
        <w:rPr>
          <w:rFonts w:ascii="Arial" w:hAnsi="Arial" w:cs="Arial"/>
          <w:sz w:val="22"/>
          <w:szCs w:val="22"/>
          <w:lang w:val="en-GB"/>
        </w:rPr>
        <w:t xml:space="preserve">hat a Trust must investigate a complaint ‘in a manner appropriate to resolve it speedily and efficiently and keep the complainant informed’. </w:t>
      </w:r>
      <w:proofErr w:type="gramStart"/>
      <w:r w:rsidRPr="004537C7">
        <w:rPr>
          <w:rFonts w:ascii="Arial" w:hAnsi="Arial" w:cs="Arial"/>
          <w:sz w:val="22"/>
          <w:szCs w:val="22"/>
          <w:lang w:val="en-GB"/>
        </w:rPr>
        <w:t>Therefore</w:t>
      </w:r>
      <w:proofErr w:type="gramEnd"/>
      <w:r w:rsidRPr="004537C7">
        <w:rPr>
          <w:rFonts w:ascii="Arial" w:hAnsi="Arial" w:cs="Arial"/>
          <w:sz w:val="22"/>
          <w:szCs w:val="22"/>
          <w:lang w:val="en-GB"/>
        </w:rPr>
        <w:t xml:space="preserve"> when a response is not going to be completed in the set timeframe then an explanation must be given</w:t>
      </w:r>
      <w:r w:rsidR="00AE295B" w:rsidRPr="004537C7">
        <w:rPr>
          <w:rFonts w:ascii="Arial" w:hAnsi="Arial" w:cs="Arial"/>
          <w:sz w:val="22"/>
          <w:szCs w:val="22"/>
          <w:lang w:val="en-GB"/>
        </w:rPr>
        <w:t>, by the Trust,</w:t>
      </w:r>
      <w:r w:rsidRPr="004537C7">
        <w:rPr>
          <w:rFonts w:ascii="Arial" w:hAnsi="Arial" w:cs="Arial"/>
          <w:sz w:val="22"/>
          <w:szCs w:val="22"/>
          <w:lang w:val="en-GB"/>
        </w:rPr>
        <w:t xml:space="preserve"> to the complainant and a new timeframe agreed.</w:t>
      </w:r>
    </w:p>
    <w:p w14:paraId="4E26AB17" w14:textId="77777777" w:rsidR="0033021A" w:rsidRDefault="0033021A" w:rsidP="003C150D">
      <w:pPr>
        <w:jc w:val="both"/>
        <w:rPr>
          <w:rFonts w:ascii="Arial" w:hAnsi="Arial" w:cs="Arial"/>
          <w:sz w:val="22"/>
          <w:szCs w:val="22"/>
          <w:lang w:val="en-GB"/>
        </w:rPr>
      </w:pPr>
    </w:p>
    <w:p w14:paraId="10151878" w14:textId="78AD0B68" w:rsidR="00ED50F3" w:rsidRDefault="00ED50F3" w:rsidP="003C150D">
      <w:pPr>
        <w:jc w:val="both"/>
        <w:rPr>
          <w:rFonts w:ascii="Arial" w:hAnsi="Arial" w:cs="Arial"/>
          <w:sz w:val="22"/>
          <w:szCs w:val="22"/>
          <w:lang w:val="en-GB"/>
        </w:rPr>
      </w:pPr>
      <w:r w:rsidRPr="00A30A7A">
        <w:rPr>
          <w:rFonts w:ascii="Arial" w:hAnsi="Arial" w:cs="Arial"/>
          <w:b/>
          <w:bCs/>
          <w:sz w:val="22"/>
          <w:szCs w:val="22"/>
          <w:lang w:val="en-GB"/>
        </w:rPr>
        <w:t xml:space="preserve">Table </w:t>
      </w:r>
      <w:r w:rsidR="00FE6128">
        <w:rPr>
          <w:rFonts w:ascii="Arial" w:hAnsi="Arial" w:cs="Arial"/>
          <w:b/>
          <w:bCs/>
          <w:sz w:val="22"/>
          <w:szCs w:val="22"/>
          <w:lang w:val="en-GB"/>
        </w:rPr>
        <w:t>5</w:t>
      </w:r>
      <w:r w:rsidRPr="00A30A7A">
        <w:t xml:space="preserve"> </w:t>
      </w:r>
      <w:r w:rsidRPr="00A30A7A">
        <w:rPr>
          <w:rFonts w:ascii="Arial" w:hAnsi="Arial" w:cs="Arial"/>
          <w:sz w:val="22"/>
          <w:szCs w:val="22"/>
          <w:lang w:val="en-GB"/>
        </w:rPr>
        <w:t xml:space="preserve">below shows </w:t>
      </w:r>
      <w:r w:rsidR="008F2A9D">
        <w:rPr>
          <w:rFonts w:ascii="Arial" w:hAnsi="Arial" w:cs="Arial"/>
          <w:sz w:val="22"/>
          <w:szCs w:val="22"/>
          <w:lang w:val="en-GB"/>
        </w:rPr>
        <w:t xml:space="preserve">the percentage of </w:t>
      </w:r>
      <w:r w:rsidRPr="00ED50F3">
        <w:rPr>
          <w:rFonts w:ascii="Arial" w:hAnsi="Arial" w:cs="Arial"/>
          <w:sz w:val="22"/>
          <w:szCs w:val="22"/>
          <w:lang w:val="en-GB"/>
        </w:rPr>
        <w:t>response</w:t>
      </w:r>
      <w:r w:rsidR="008F2A9D">
        <w:rPr>
          <w:rFonts w:ascii="Arial" w:hAnsi="Arial" w:cs="Arial"/>
          <w:sz w:val="22"/>
          <w:szCs w:val="22"/>
          <w:lang w:val="en-GB"/>
        </w:rPr>
        <w:t>s sent</w:t>
      </w:r>
      <w:r w:rsidRPr="00ED50F3">
        <w:rPr>
          <w:rFonts w:ascii="Arial" w:hAnsi="Arial" w:cs="Arial"/>
          <w:sz w:val="22"/>
          <w:szCs w:val="22"/>
          <w:lang w:val="en-GB"/>
        </w:rPr>
        <w:t xml:space="preserve"> within 35 or 65 working days by Division and demonstrated by quarter through 202</w:t>
      </w:r>
      <w:r w:rsidR="00C64F4A">
        <w:rPr>
          <w:rFonts w:ascii="Arial" w:hAnsi="Arial" w:cs="Arial"/>
          <w:sz w:val="22"/>
          <w:szCs w:val="22"/>
          <w:lang w:val="en-GB"/>
        </w:rPr>
        <w:t>4/2025</w:t>
      </w:r>
    </w:p>
    <w:p w14:paraId="7C69B942" w14:textId="77777777" w:rsidR="004D1FBC" w:rsidRDefault="004D1FBC" w:rsidP="003C150D">
      <w:pPr>
        <w:jc w:val="both"/>
        <w:rPr>
          <w:rFonts w:ascii="Arial" w:hAnsi="Arial" w:cs="Arial"/>
          <w:sz w:val="22"/>
          <w:szCs w:val="22"/>
          <w:lang w:val="en-GB"/>
        </w:rPr>
      </w:pPr>
    </w:p>
    <w:p w14:paraId="19DFA1F7" w14:textId="77777777" w:rsidR="004D1FBC" w:rsidRDefault="004D1FBC" w:rsidP="003C150D">
      <w:pPr>
        <w:jc w:val="both"/>
        <w:rPr>
          <w:rFonts w:ascii="Arial" w:hAnsi="Arial" w:cs="Arial"/>
          <w:sz w:val="22"/>
          <w:szCs w:val="22"/>
          <w:lang w:val="en-GB"/>
        </w:rPr>
      </w:pPr>
    </w:p>
    <w:p w14:paraId="3FF81DE7" w14:textId="77777777" w:rsidR="00F15D12" w:rsidRDefault="00F15D12" w:rsidP="003C150D">
      <w:pPr>
        <w:jc w:val="both"/>
        <w:rPr>
          <w:rFonts w:ascii="Arial" w:hAnsi="Arial" w:cs="Arial"/>
          <w:sz w:val="22"/>
          <w:szCs w:val="22"/>
          <w:lang w:val="en-GB"/>
        </w:rPr>
      </w:pPr>
    </w:p>
    <w:p w14:paraId="10D6E953" w14:textId="77777777" w:rsidR="00F15D12" w:rsidRDefault="00F15D12" w:rsidP="003C150D">
      <w:pPr>
        <w:jc w:val="both"/>
        <w:rPr>
          <w:rFonts w:ascii="Arial" w:hAnsi="Arial" w:cs="Arial"/>
          <w:sz w:val="22"/>
          <w:szCs w:val="22"/>
          <w:lang w:val="en-GB"/>
        </w:rPr>
      </w:pPr>
    </w:p>
    <w:tbl>
      <w:tblPr>
        <w:tblW w:w="9250" w:type="dxa"/>
        <w:tblLook w:val="04A0" w:firstRow="1" w:lastRow="0" w:firstColumn="1" w:lastColumn="0" w:noHBand="0" w:noVBand="1"/>
      </w:tblPr>
      <w:tblGrid>
        <w:gridCol w:w="2458"/>
        <w:gridCol w:w="1207"/>
        <w:gridCol w:w="1207"/>
        <w:gridCol w:w="1207"/>
        <w:gridCol w:w="1207"/>
        <w:gridCol w:w="1964"/>
      </w:tblGrid>
      <w:tr w:rsidR="00361506" w:rsidRPr="00361506" w14:paraId="4A1EACC8" w14:textId="77777777" w:rsidTr="00E00CEF">
        <w:trPr>
          <w:trHeight w:val="491"/>
        </w:trPr>
        <w:tc>
          <w:tcPr>
            <w:tcW w:w="2458"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3DC8FD75" w14:textId="77777777" w:rsidR="00361506" w:rsidRPr="00361506" w:rsidRDefault="00361506" w:rsidP="00361506">
            <w:pPr>
              <w:rPr>
                <w:rFonts w:ascii="Calibri" w:eastAsia="Times New Roman" w:hAnsi="Calibri" w:cs="Calibri"/>
                <w:b/>
                <w:bCs/>
                <w:color w:val="000000"/>
                <w:lang w:val="en-GB" w:eastAsia="en-GB"/>
              </w:rPr>
            </w:pPr>
            <w:r w:rsidRPr="00361506">
              <w:rPr>
                <w:rFonts w:ascii="Calibri" w:eastAsia="Times New Roman" w:hAnsi="Calibri" w:cs="Calibri"/>
                <w:b/>
                <w:bCs/>
                <w:color w:val="000000"/>
                <w:lang w:val="en-GB" w:eastAsia="en-GB"/>
              </w:rPr>
              <w:lastRenderedPageBreak/>
              <w:t> </w:t>
            </w:r>
          </w:p>
        </w:tc>
        <w:tc>
          <w:tcPr>
            <w:tcW w:w="1207" w:type="dxa"/>
            <w:tcBorders>
              <w:top w:val="single" w:sz="4" w:space="0" w:color="auto"/>
              <w:left w:val="nil"/>
              <w:bottom w:val="single" w:sz="4" w:space="0" w:color="auto"/>
              <w:right w:val="single" w:sz="4" w:space="0" w:color="auto"/>
            </w:tcBorders>
            <w:shd w:val="clear" w:color="000000" w:fill="B8CCE4"/>
            <w:noWrap/>
            <w:vAlign w:val="center"/>
            <w:hideMark/>
          </w:tcPr>
          <w:p w14:paraId="62B04A4B" w14:textId="77777777" w:rsidR="00361506" w:rsidRPr="00361506" w:rsidRDefault="00361506" w:rsidP="00361506">
            <w:pPr>
              <w:jc w:val="center"/>
              <w:rPr>
                <w:rFonts w:ascii="Calibri" w:eastAsia="Times New Roman" w:hAnsi="Calibri" w:cs="Calibri"/>
                <w:b/>
                <w:bCs/>
                <w:color w:val="000000"/>
                <w:lang w:val="en-GB" w:eastAsia="en-GB"/>
              </w:rPr>
            </w:pPr>
            <w:r w:rsidRPr="00361506">
              <w:rPr>
                <w:rFonts w:ascii="Calibri" w:eastAsia="Times New Roman" w:hAnsi="Calibri" w:cs="Calibri"/>
                <w:b/>
                <w:bCs/>
                <w:color w:val="000000"/>
                <w:lang w:val="en-GB" w:eastAsia="en-GB"/>
              </w:rPr>
              <w:t>Q1</w:t>
            </w:r>
          </w:p>
        </w:tc>
        <w:tc>
          <w:tcPr>
            <w:tcW w:w="1207" w:type="dxa"/>
            <w:tcBorders>
              <w:top w:val="single" w:sz="4" w:space="0" w:color="auto"/>
              <w:left w:val="nil"/>
              <w:bottom w:val="single" w:sz="4" w:space="0" w:color="auto"/>
              <w:right w:val="single" w:sz="4" w:space="0" w:color="auto"/>
            </w:tcBorders>
            <w:shd w:val="clear" w:color="000000" w:fill="B8CCE4"/>
            <w:noWrap/>
            <w:vAlign w:val="center"/>
            <w:hideMark/>
          </w:tcPr>
          <w:p w14:paraId="201F0274" w14:textId="77777777" w:rsidR="00361506" w:rsidRPr="00361506" w:rsidRDefault="00361506" w:rsidP="00361506">
            <w:pPr>
              <w:jc w:val="center"/>
              <w:rPr>
                <w:rFonts w:ascii="Calibri" w:eastAsia="Times New Roman" w:hAnsi="Calibri" w:cs="Calibri"/>
                <w:b/>
                <w:bCs/>
                <w:color w:val="000000"/>
                <w:lang w:val="en-GB" w:eastAsia="en-GB"/>
              </w:rPr>
            </w:pPr>
            <w:r w:rsidRPr="00361506">
              <w:rPr>
                <w:rFonts w:ascii="Calibri" w:eastAsia="Times New Roman" w:hAnsi="Calibri" w:cs="Calibri"/>
                <w:b/>
                <w:bCs/>
                <w:color w:val="000000"/>
                <w:lang w:val="en-GB" w:eastAsia="en-GB"/>
              </w:rPr>
              <w:t>Q2</w:t>
            </w:r>
          </w:p>
        </w:tc>
        <w:tc>
          <w:tcPr>
            <w:tcW w:w="1207" w:type="dxa"/>
            <w:tcBorders>
              <w:top w:val="single" w:sz="4" w:space="0" w:color="auto"/>
              <w:left w:val="nil"/>
              <w:bottom w:val="single" w:sz="4" w:space="0" w:color="auto"/>
              <w:right w:val="single" w:sz="4" w:space="0" w:color="auto"/>
            </w:tcBorders>
            <w:shd w:val="clear" w:color="000000" w:fill="B8CCE4"/>
            <w:noWrap/>
            <w:vAlign w:val="center"/>
            <w:hideMark/>
          </w:tcPr>
          <w:p w14:paraId="60ADE27F" w14:textId="77777777" w:rsidR="00361506" w:rsidRPr="00361506" w:rsidRDefault="00361506" w:rsidP="00361506">
            <w:pPr>
              <w:jc w:val="center"/>
              <w:rPr>
                <w:rFonts w:ascii="Calibri" w:eastAsia="Times New Roman" w:hAnsi="Calibri" w:cs="Calibri"/>
                <w:b/>
                <w:bCs/>
                <w:color w:val="000000"/>
                <w:lang w:val="en-GB" w:eastAsia="en-GB"/>
              </w:rPr>
            </w:pPr>
            <w:r w:rsidRPr="00361506">
              <w:rPr>
                <w:rFonts w:ascii="Calibri" w:eastAsia="Times New Roman" w:hAnsi="Calibri" w:cs="Calibri"/>
                <w:b/>
                <w:bCs/>
                <w:color w:val="000000"/>
                <w:lang w:val="en-GB" w:eastAsia="en-GB"/>
              </w:rPr>
              <w:t>Q3</w:t>
            </w:r>
          </w:p>
        </w:tc>
        <w:tc>
          <w:tcPr>
            <w:tcW w:w="1207" w:type="dxa"/>
            <w:tcBorders>
              <w:top w:val="single" w:sz="4" w:space="0" w:color="auto"/>
              <w:left w:val="nil"/>
              <w:bottom w:val="single" w:sz="4" w:space="0" w:color="auto"/>
              <w:right w:val="single" w:sz="4" w:space="0" w:color="auto"/>
            </w:tcBorders>
            <w:shd w:val="clear" w:color="000000" w:fill="B8CCE4"/>
            <w:noWrap/>
            <w:vAlign w:val="center"/>
            <w:hideMark/>
          </w:tcPr>
          <w:p w14:paraId="09D7117C" w14:textId="77777777" w:rsidR="00361506" w:rsidRPr="00361506" w:rsidRDefault="00361506" w:rsidP="00361506">
            <w:pPr>
              <w:jc w:val="center"/>
              <w:rPr>
                <w:rFonts w:ascii="Calibri" w:eastAsia="Times New Roman" w:hAnsi="Calibri" w:cs="Calibri"/>
                <w:b/>
                <w:bCs/>
                <w:color w:val="000000"/>
                <w:lang w:val="en-GB" w:eastAsia="en-GB"/>
              </w:rPr>
            </w:pPr>
            <w:r w:rsidRPr="00361506">
              <w:rPr>
                <w:rFonts w:ascii="Calibri" w:eastAsia="Times New Roman" w:hAnsi="Calibri" w:cs="Calibri"/>
                <w:b/>
                <w:bCs/>
                <w:color w:val="000000"/>
                <w:lang w:val="en-GB" w:eastAsia="en-GB"/>
              </w:rPr>
              <w:t>Q4</w:t>
            </w:r>
          </w:p>
        </w:tc>
        <w:tc>
          <w:tcPr>
            <w:tcW w:w="1964" w:type="dxa"/>
            <w:tcBorders>
              <w:top w:val="single" w:sz="4" w:space="0" w:color="auto"/>
              <w:left w:val="nil"/>
              <w:bottom w:val="single" w:sz="4" w:space="0" w:color="auto"/>
              <w:right w:val="single" w:sz="4" w:space="0" w:color="auto"/>
            </w:tcBorders>
            <w:shd w:val="clear" w:color="000000" w:fill="B8CCE4"/>
            <w:noWrap/>
            <w:vAlign w:val="center"/>
            <w:hideMark/>
          </w:tcPr>
          <w:p w14:paraId="1AC67261" w14:textId="77777777" w:rsidR="00361506" w:rsidRPr="00361506" w:rsidRDefault="00361506" w:rsidP="00361506">
            <w:pPr>
              <w:jc w:val="center"/>
              <w:rPr>
                <w:rFonts w:ascii="Calibri" w:eastAsia="Times New Roman" w:hAnsi="Calibri" w:cs="Calibri"/>
                <w:b/>
                <w:bCs/>
                <w:color w:val="000000"/>
                <w:lang w:val="en-GB" w:eastAsia="en-GB"/>
              </w:rPr>
            </w:pPr>
            <w:r w:rsidRPr="00361506">
              <w:rPr>
                <w:rFonts w:ascii="Calibri" w:eastAsia="Times New Roman" w:hAnsi="Calibri" w:cs="Calibri"/>
                <w:b/>
                <w:bCs/>
                <w:color w:val="000000"/>
                <w:lang w:val="en-GB" w:eastAsia="en-GB"/>
              </w:rPr>
              <w:t>YTD Rate</w:t>
            </w:r>
          </w:p>
        </w:tc>
      </w:tr>
      <w:tr w:rsidR="00361506" w:rsidRPr="00361506" w14:paraId="0CCD06A0" w14:textId="77777777" w:rsidTr="00E00CEF">
        <w:trPr>
          <w:trHeight w:val="245"/>
        </w:trPr>
        <w:tc>
          <w:tcPr>
            <w:tcW w:w="2458" w:type="dxa"/>
            <w:tcBorders>
              <w:top w:val="nil"/>
              <w:left w:val="single" w:sz="4" w:space="0" w:color="auto"/>
              <w:bottom w:val="single" w:sz="4" w:space="0" w:color="auto"/>
              <w:right w:val="single" w:sz="4" w:space="0" w:color="auto"/>
            </w:tcBorders>
            <w:noWrap/>
            <w:vAlign w:val="bottom"/>
            <w:hideMark/>
          </w:tcPr>
          <w:p w14:paraId="15D761AE" w14:textId="77777777" w:rsidR="00361506" w:rsidRPr="00361506" w:rsidRDefault="00361506" w:rsidP="00361506">
            <w:pPr>
              <w:rPr>
                <w:rFonts w:ascii="Calibri" w:eastAsia="Times New Roman" w:hAnsi="Calibri" w:cs="Calibri"/>
                <w:color w:val="000000"/>
                <w:lang w:val="en-GB" w:eastAsia="en-GB"/>
              </w:rPr>
            </w:pPr>
            <w:r w:rsidRPr="00361506">
              <w:rPr>
                <w:rFonts w:ascii="Calibri" w:eastAsia="Times New Roman" w:hAnsi="Calibri" w:cs="Calibri"/>
                <w:color w:val="000000"/>
                <w:lang w:val="en-GB" w:eastAsia="en-GB"/>
              </w:rPr>
              <w:t>Corporate</w:t>
            </w:r>
          </w:p>
        </w:tc>
        <w:tc>
          <w:tcPr>
            <w:tcW w:w="1207" w:type="dxa"/>
            <w:tcBorders>
              <w:top w:val="nil"/>
              <w:left w:val="nil"/>
              <w:bottom w:val="single" w:sz="4" w:space="0" w:color="auto"/>
              <w:right w:val="single" w:sz="4" w:space="0" w:color="auto"/>
            </w:tcBorders>
            <w:noWrap/>
            <w:vAlign w:val="bottom"/>
          </w:tcPr>
          <w:p w14:paraId="02CB0EB5" w14:textId="608E98C1" w:rsidR="00361506" w:rsidRPr="00361506" w:rsidRDefault="00361506" w:rsidP="00361506">
            <w:pPr>
              <w:jc w:val="center"/>
              <w:rPr>
                <w:rFonts w:ascii="Calibri" w:eastAsia="Times New Roman" w:hAnsi="Calibri" w:cs="Calibri"/>
                <w:color w:val="000000"/>
                <w:lang w:val="en-GB" w:eastAsia="en-GB"/>
              </w:rPr>
            </w:pPr>
            <w:r w:rsidRPr="00361506">
              <w:rPr>
                <w:rFonts w:ascii="Calibri" w:eastAsia="Times New Roman" w:hAnsi="Calibri" w:cs="Calibri"/>
                <w:color w:val="000000"/>
                <w:lang w:val="en-GB" w:eastAsia="en-GB"/>
              </w:rPr>
              <w:t>33</w:t>
            </w:r>
          </w:p>
        </w:tc>
        <w:tc>
          <w:tcPr>
            <w:tcW w:w="1207" w:type="dxa"/>
            <w:tcBorders>
              <w:top w:val="nil"/>
              <w:left w:val="nil"/>
              <w:bottom w:val="single" w:sz="4" w:space="0" w:color="auto"/>
              <w:right w:val="single" w:sz="4" w:space="0" w:color="auto"/>
            </w:tcBorders>
            <w:noWrap/>
            <w:vAlign w:val="bottom"/>
          </w:tcPr>
          <w:p w14:paraId="42FFD599" w14:textId="77777777" w:rsidR="00361506" w:rsidRPr="00361506" w:rsidRDefault="00361506" w:rsidP="00361506">
            <w:pPr>
              <w:jc w:val="center"/>
              <w:rPr>
                <w:rFonts w:ascii="Calibri" w:eastAsia="Times New Roman" w:hAnsi="Calibri" w:cs="Calibri"/>
                <w:color w:val="000000"/>
                <w:lang w:val="en-GB" w:eastAsia="en-GB"/>
              </w:rPr>
            </w:pPr>
            <w:r w:rsidRPr="00361506">
              <w:rPr>
                <w:rFonts w:ascii="Calibri" w:eastAsia="Times New Roman" w:hAnsi="Calibri" w:cs="Calibri"/>
                <w:color w:val="000000"/>
                <w:lang w:val="en-GB" w:eastAsia="en-GB"/>
              </w:rPr>
              <w:t>25</w:t>
            </w:r>
          </w:p>
        </w:tc>
        <w:tc>
          <w:tcPr>
            <w:tcW w:w="1207" w:type="dxa"/>
            <w:tcBorders>
              <w:top w:val="nil"/>
              <w:left w:val="nil"/>
              <w:bottom w:val="single" w:sz="4" w:space="0" w:color="auto"/>
              <w:right w:val="single" w:sz="4" w:space="0" w:color="auto"/>
            </w:tcBorders>
            <w:noWrap/>
            <w:vAlign w:val="bottom"/>
          </w:tcPr>
          <w:p w14:paraId="6BB22FFD" w14:textId="4999DA03" w:rsidR="00361506" w:rsidRPr="00361506" w:rsidRDefault="00361506" w:rsidP="00361506">
            <w:pPr>
              <w:jc w:val="center"/>
              <w:rPr>
                <w:rFonts w:ascii="Calibri" w:eastAsia="Times New Roman" w:hAnsi="Calibri" w:cs="Calibri"/>
                <w:color w:val="000000"/>
                <w:lang w:val="en-GB" w:eastAsia="en-GB"/>
              </w:rPr>
            </w:pPr>
            <w:r w:rsidRPr="00361506">
              <w:rPr>
                <w:rFonts w:ascii="Calibri" w:eastAsia="Times New Roman" w:hAnsi="Calibri" w:cs="Calibri"/>
                <w:color w:val="000000"/>
                <w:lang w:val="en-GB" w:eastAsia="en-GB"/>
              </w:rPr>
              <w:t>33</w:t>
            </w:r>
          </w:p>
        </w:tc>
        <w:tc>
          <w:tcPr>
            <w:tcW w:w="1207" w:type="dxa"/>
            <w:tcBorders>
              <w:top w:val="nil"/>
              <w:left w:val="nil"/>
              <w:bottom w:val="single" w:sz="4" w:space="0" w:color="auto"/>
              <w:right w:val="single" w:sz="4" w:space="0" w:color="auto"/>
            </w:tcBorders>
            <w:noWrap/>
            <w:vAlign w:val="bottom"/>
          </w:tcPr>
          <w:p w14:paraId="2DE7F2D9" w14:textId="77777777" w:rsidR="00361506" w:rsidRPr="00361506" w:rsidRDefault="00361506" w:rsidP="00361506">
            <w:pPr>
              <w:jc w:val="center"/>
              <w:rPr>
                <w:rFonts w:ascii="Calibri" w:eastAsia="Times New Roman" w:hAnsi="Calibri" w:cs="Calibri"/>
                <w:color w:val="000000"/>
                <w:lang w:val="en-GB" w:eastAsia="en-GB"/>
              </w:rPr>
            </w:pPr>
            <w:r w:rsidRPr="00361506">
              <w:rPr>
                <w:rFonts w:ascii="Calibri" w:eastAsia="Times New Roman" w:hAnsi="Calibri" w:cs="Calibri"/>
                <w:color w:val="000000"/>
                <w:lang w:val="en-GB" w:eastAsia="en-GB"/>
              </w:rPr>
              <w:t>25</w:t>
            </w:r>
          </w:p>
        </w:tc>
        <w:tc>
          <w:tcPr>
            <w:tcW w:w="1964" w:type="dxa"/>
            <w:tcBorders>
              <w:top w:val="nil"/>
              <w:left w:val="nil"/>
              <w:bottom w:val="single" w:sz="4" w:space="0" w:color="auto"/>
              <w:right w:val="single" w:sz="4" w:space="0" w:color="auto"/>
            </w:tcBorders>
            <w:noWrap/>
            <w:vAlign w:val="bottom"/>
          </w:tcPr>
          <w:p w14:paraId="365C44ED" w14:textId="21114D70" w:rsidR="00361506" w:rsidRPr="00361506" w:rsidRDefault="00361506" w:rsidP="00361506">
            <w:pPr>
              <w:jc w:val="center"/>
              <w:rPr>
                <w:rFonts w:ascii="Calibri" w:eastAsia="Times New Roman" w:hAnsi="Calibri" w:cs="Calibri"/>
                <w:color w:val="000000"/>
                <w:lang w:val="en-GB" w:eastAsia="en-GB"/>
              </w:rPr>
            </w:pPr>
            <w:r w:rsidRPr="00361506">
              <w:rPr>
                <w:rFonts w:ascii="Calibri" w:eastAsia="Times New Roman" w:hAnsi="Calibri" w:cs="Calibri"/>
                <w:color w:val="000000"/>
                <w:lang w:val="en-GB" w:eastAsia="en-GB"/>
              </w:rPr>
              <w:t>29</w:t>
            </w:r>
          </w:p>
        </w:tc>
      </w:tr>
      <w:tr w:rsidR="00361506" w:rsidRPr="00361506" w14:paraId="510CB6B4" w14:textId="77777777" w:rsidTr="00E00CEF">
        <w:trPr>
          <w:trHeight w:val="245"/>
        </w:trPr>
        <w:tc>
          <w:tcPr>
            <w:tcW w:w="2458" w:type="dxa"/>
            <w:tcBorders>
              <w:top w:val="nil"/>
              <w:left w:val="single" w:sz="4" w:space="0" w:color="auto"/>
              <w:bottom w:val="single" w:sz="4" w:space="0" w:color="auto"/>
              <w:right w:val="single" w:sz="4" w:space="0" w:color="auto"/>
            </w:tcBorders>
            <w:noWrap/>
            <w:vAlign w:val="bottom"/>
            <w:hideMark/>
          </w:tcPr>
          <w:p w14:paraId="3083E964" w14:textId="77777777" w:rsidR="00361506" w:rsidRPr="00361506" w:rsidRDefault="00361506" w:rsidP="00361506">
            <w:pPr>
              <w:rPr>
                <w:rFonts w:ascii="Calibri" w:eastAsia="Times New Roman" w:hAnsi="Calibri" w:cs="Calibri"/>
                <w:color w:val="000000"/>
                <w:lang w:val="en-GB" w:eastAsia="en-GB"/>
              </w:rPr>
            </w:pPr>
            <w:r w:rsidRPr="00361506">
              <w:rPr>
                <w:rFonts w:ascii="Calibri" w:eastAsia="Times New Roman" w:hAnsi="Calibri" w:cs="Calibri"/>
                <w:color w:val="000000"/>
                <w:lang w:val="en-GB" w:eastAsia="en-GB"/>
              </w:rPr>
              <w:t>D&amp;S</w:t>
            </w:r>
          </w:p>
        </w:tc>
        <w:tc>
          <w:tcPr>
            <w:tcW w:w="1207" w:type="dxa"/>
            <w:tcBorders>
              <w:top w:val="nil"/>
              <w:left w:val="nil"/>
              <w:bottom w:val="single" w:sz="4" w:space="0" w:color="auto"/>
              <w:right w:val="single" w:sz="4" w:space="0" w:color="auto"/>
            </w:tcBorders>
            <w:noWrap/>
            <w:vAlign w:val="bottom"/>
          </w:tcPr>
          <w:p w14:paraId="4F9D5CD2" w14:textId="77777777" w:rsidR="00361506" w:rsidRPr="00361506" w:rsidRDefault="00361506" w:rsidP="00361506">
            <w:pPr>
              <w:jc w:val="center"/>
              <w:rPr>
                <w:rFonts w:ascii="Calibri" w:eastAsia="Times New Roman" w:hAnsi="Calibri" w:cs="Calibri"/>
                <w:color w:val="000000"/>
                <w:lang w:val="en-GB" w:eastAsia="en-GB"/>
              </w:rPr>
            </w:pPr>
            <w:r w:rsidRPr="00361506">
              <w:rPr>
                <w:rFonts w:ascii="Calibri" w:eastAsia="Times New Roman" w:hAnsi="Calibri" w:cs="Calibri"/>
                <w:color w:val="000000"/>
                <w:lang w:val="en-GB" w:eastAsia="en-GB"/>
              </w:rPr>
              <w:t>15</w:t>
            </w:r>
          </w:p>
        </w:tc>
        <w:tc>
          <w:tcPr>
            <w:tcW w:w="1207" w:type="dxa"/>
            <w:tcBorders>
              <w:top w:val="nil"/>
              <w:left w:val="nil"/>
              <w:bottom w:val="single" w:sz="4" w:space="0" w:color="auto"/>
              <w:right w:val="single" w:sz="4" w:space="0" w:color="auto"/>
            </w:tcBorders>
            <w:noWrap/>
            <w:vAlign w:val="bottom"/>
          </w:tcPr>
          <w:p w14:paraId="62FEC6AB" w14:textId="77D8FA24" w:rsidR="00361506" w:rsidRPr="00361506" w:rsidRDefault="00361506" w:rsidP="00361506">
            <w:pPr>
              <w:jc w:val="center"/>
              <w:rPr>
                <w:rFonts w:ascii="Calibri" w:eastAsia="Times New Roman" w:hAnsi="Calibri" w:cs="Calibri"/>
                <w:color w:val="000000"/>
                <w:lang w:val="en-GB" w:eastAsia="en-GB"/>
              </w:rPr>
            </w:pPr>
            <w:r w:rsidRPr="00361506">
              <w:rPr>
                <w:rFonts w:ascii="Calibri" w:eastAsia="Times New Roman" w:hAnsi="Calibri" w:cs="Calibri"/>
                <w:color w:val="000000"/>
                <w:lang w:val="en-GB" w:eastAsia="en-GB"/>
              </w:rPr>
              <w:t>26</w:t>
            </w:r>
          </w:p>
        </w:tc>
        <w:tc>
          <w:tcPr>
            <w:tcW w:w="1207" w:type="dxa"/>
            <w:tcBorders>
              <w:top w:val="nil"/>
              <w:left w:val="nil"/>
              <w:bottom w:val="single" w:sz="4" w:space="0" w:color="auto"/>
              <w:right w:val="single" w:sz="4" w:space="0" w:color="auto"/>
            </w:tcBorders>
            <w:noWrap/>
            <w:vAlign w:val="bottom"/>
          </w:tcPr>
          <w:p w14:paraId="63187AEA" w14:textId="77D13EC6" w:rsidR="00361506" w:rsidRPr="00361506" w:rsidRDefault="00361506" w:rsidP="00361506">
            <w:pPr>
              <w:jc w:val="center"/>
              <w:rPr>
                <w:rFonts w:ascii="Calibri" w:eastAsia="Times New Roman" w:hAnsi="Calibri" w:cs="Calibri"/>
                <w:color w:val="000000"/>
                <w:lang w:val="en-GB" w:eastAsia="en-GB"/>
              </w:rPr>
            </w:pPr>
            <w:r w:rsidRPr="00361506">
              <w:rPr>
                <w:rFonts w:ascii="Calibri" w:eastAsia="Times New Roman" w:hAnsi="Calibri" w:cs="Calibri"/>
                <w:color w:val="000000"/>
                <w:lang w:val="en-GB" w:eastAsia="en-GB"/>
              </w:rPr>
              <w:t>2</w:t>
            </w:r>
            <w:r w:rsidR="00C66679">
              <w:rPr>
                <w:rFonts w:ascii="Calibri" w:eastAsia="Times New Roman" w:hAnsi="Calibri" w:cs="Calibri"/>
                <w:color w:val="000000"/>
                <w:lang w:val="en-GB" w:eastAsia="en-GB"/>
              </w:rPr>
              <w:t>2</w:t>
            </w:r>
          </w:p>
        </w:tc>
        <w:tc>
          <w:tcPr>
            <w:tcW w:w="1207" w:type="dxa"/>
            <w:tcBorders>
              <w:top w:val="nil"/>
              <w:left w:val="nil"/>
              <w:bottom w:val="single" w:sz="4" w:space="0" w:color="auto"/>
              <w:right w:val="single" w:sz="4" w:space="0" w:color="auto"/>
            </w:tcBorders>
            <w:noWrap/>
            <w:vAlign w:val="bottom"/>
          </w:tcPr>
          <w:p w14:paraId="3D305952" w14:textId="755D5A27" w:rsidR="00361506" w:rsidRPr="00361506" w:rsidRDefault="00361506" w:rsidP="00361506">
            <w:pPr>
              <w:jc w:val="center"/>
              <w:rPr>
                <w:rFonts w:ascii="Calibri" w:eastAsia="Times New Roman" w:hAnsi="Calibri" w:cs="Calibri"/>
                <w:color w:val="000000"/>
                <w:lang w:val="en-GB" w:eastAsia="en-GB"/>
              </w:rPr>
            </w:pPr>
            <w:r w:rsidRPr="00361506">
              <w:rPr>
                <w:rFonts w:ascii="Calibri" w:eastAsia="Times New Roman" w:hAnsi="Calibri" w:cs="Calibri"/>
                <w:color w:val="000000"/>
                <w:lang w:val="en-GB" w:eastAsia="en-GB"/>
              </w:rPr>
              <w:t>12</w:t>
            </w:r>
          </w:p>
        </w:tc>
        <w:tc>
          <w:tcPr>
            <w:tcW w:w="1964" w:type="dxa"/>
            <w:tcBorders>
              <w:top w:val="nil"/>
              <w:left w:val="nil"/>
              <w:bottom w:val="single" w:sz="4" w:space="0" w:color="auto"/>
              <w:right w:val="single" w:sz="4" w:space="0" w:color="auto"/>
            </w:tcBorders>
            <w:noWrap/>
            <w:vAlign w:val="bottom"/>
          </w:tcPr>
          <w:p w14:paraId="02DF715D" w14:textId="36AF70E4" w:rsidR="00361506" w:rsidRPr="00361506" w:rsidRDefault="00361506" w:rsidP="00361506">
            <w:pPr>
              <w:jc w:val="center"/>
              <w:rPr>
                <w:rFonts w:ascii="Calibri" w:eastAsia="Times New Roman" w:hAnsi="Calibri" w:cs="Calibri"/>
                <w:color w:val="000000"/>
                <w:lang w:val="en-GB" w:eastAsia="en-GB"/>
              </w:rPr>
            </w:pPr>
            <w:r w:rsidRPr="00361506">
              <w:rPr>
                <w:rFonts w:ascii="Calibri" w:eastAsia="Times New Roman" w:hAnsi="Calibri" w:cs="Calibri"/>
                <w:color w:val="000000"/>
                <w:lang w:val="en-GB" w:eastAsia="en-GB"/>
              </w:rPr>
              <w:t>19</w:t>
            </w:r>
          </w:p>
        </w:tc>
      </w:tr>
      <w:tr w:rsidR="00361506" w:rsidRPr="00361506" w14:paraId="50C5A391" w14:textId="77777777" w:rsidTr="00E00CEF">
        <w:trPr>
          <w:trHeight w:val="245"/>
        </w:trPr>
        <w:tc>
          <w:tcPr>
            <w:tcW w:w="2458" w:type="dxa"/>
            <w:tcBorders>
              <w:top w:val="nil"/>
              <w:left w:val="single" w:sz="4" w:space="0" w:color="auto"/>
              <w:bottom w:val="single" w:sz="4" w:space="0" w:color="auto"/>
              <w:right w:val="single" w:sz="4" w:space="0" w:color="auto"/>
            </w:tcBorders>
            <w:noWrap/>
            <w:vAlign w:val="bottom"/>
            <w:hideMark/>
          </w:tcPr>
          <w:p w14:paraId="6FCA00E4" w14:textId="77777777" w:rsidR="00361506" w:rsidRPr="00361506" w:rsidRDefault="00361506" w:rsidP="00361506">
            <w:pPr>
              <w:rPr>
                <w:rFonts w:ascii="Calibri" w:eastAsia="Times New Roman" w:hAnsi="Calibri" w:cs="Calibri"/>
                <w:color w:val="000000"/>
                <w:lang w:val="en-GB" w:eastAsia="en-GB"/>
              </w:rPr>
            </w:pPr>
            <w:r w:rsidRPr="00361506">
              <w:rPr>
                <w:rFonts w:ascii="Calibri" w:eastAsia="Times New Roman" w:hAnsi="Calibri" w:cs="Calibri"/>
                <w:color w:val="000000"/>
                <w:lang w:val="en-GB" w:eastAsia="en-GB"/>
              </w:rPr>
              <w:t>E&amp;F</w:t>
            </w:r>
          </w:p>
        </w:tc>
        <w:tc>
          <w:tcPr>
            <w:tcW w:w="1207" w:type="dxa"/>
            <w:tcBorders>
              <w:top w:val="nil"/>
              <w:left w:val="nil"/>
              <w:bottom w:val="single" w:sz="4" w:space="0" w:color="auto"/>
              <w:right w:val="single" w:sz="4" w:space="0" w:color="auto"/>
            </w:tcBorders>
            <w:noWrap/>
            <w:vAlign w:val="bottom"/>
          </w:tcPr>
          <w:p w14:paraId="33911215" w14:textId="77777777" w:rsidR="00361506" w:rsidRPr="00361506" w:rsidRDefault="00361506" w:rsidP="00361506">
            <w:pPr>
              <w:jc w:val="center"/>
              <w:rPr>
                <w:rFonts w:ascii="Calibri" w:eastAsia="Times New Roman" w:hAnsi="Calibri" w:cs="Calibri"/>
                <w:color w:val="000000"/>
                <w:lang w:val="en-GB" w:eastAsia="en-GB"/>
              </w:rPr>
            </w:pPr>
            <w:r w:rsidRPr="00361506">
              <w:rPr>
                <w:rFonts w:ascii="Calibri" w:eastAsia="Times New Roman" w:hAnsi="Calibri" w:cs="Calibri"/>
                <w:color w:val="000000"/>
                <w:lang w:val="en-GB" w:eastAsia="en-GB"/>
              </w:rPr>
              <w:t>0</w:t>
            </w:r>
          </w:p>
        </w:tc>
        <w:tc>
          <w:tcPr>
            <w:tcW w:w="1207" w:type="dxa"/>
            <w:tcBorders>
              <w:top w:val="nil"/>
              <w:left w:val="nil"/>
              <w:bottom w:val="single" w:sz="4" w:space="0" w:color="auto"/>
              <w:right w:val="single" w:sz="4" w:space="0" w:color="auto"/>
            </w:tcBorders>
            <w:noWrap/>
            <w:vAlign w:val="bottom"/>
          </w:tcPr>
          <w:p w14:paraId="5F6F6EA4" w14:textId="77777777" w:rsidR="00361506" w:rsidRPr="00361506" w:rsidRDefault="00361506" w:rsidP="00361506">
            <w:pPr>
              <w:jc w:val="center"/>
              <w:rPr>
                <w:rFonts w:ascii="Calibri" w:eastAsia="Times New Roman" w:hAnsi="Calibri" w:cs="Calibri"/>
                <w:color w:val="000000"/>
                <w:lang w:val="en-GB" w:eastAsia="en-GB"/>
              </w:rPr>
            </w:pPr>
            <w:r w:rsidRPr="00361506">
              <w:rPr>
                <w:rFonts w:ascii="Calibri" w:eastAsia="Times New Roman" w:hAnsi="Calibri" w:cs="Calibri"/>
                <w:color w:val="000000"/>
                <w:lang w:val="en-GB" w:eastAsia="en-GB"/>
              </w:rPr>
              <w:t>50</w:t>
            </w:r>
          </w:p>
        </w:tc>
        <w:tc>
          <w:tcPr>
            <w:tcW w:w="1207" w:type="dxa"/>
            <w:tcBorders>
              <w:top w:val="nil"/>
              <w:left w:val="nil"/>
              <w:bottom w:val="single" w:sz="4" w:space="0" w:color="auto"/>
              <w:right w:val="single" w:sz="4" w:space="0" w:color="auto"/>
            </w:tcBorders>
            <w:noWrap/>
            <w:vAlign w:val="bottom"/>
          </w:tcPr>
          <w:p w14:paraId="50F48090" w14:textId="77777777" w:rsidR="00361506" w:rsidRPr="00361506" w:rsidRDefault="00361506" w:rsidP="00361506">
            <w:pPr>
              <w:jc w:val="center"/>
              <w:rPr>
                <w:rFonts w:ascii="Calibri" w:eastAsia="Times New Roman" w:hAnsi="Calibri" w:cs="Calibri"/>
                <w:color w:val="000000"/>
                <w:lang w:val="en-GB" w:eastAsia="en-GB"/>
              </w:rPr>
            </w:pPr>
            <w:r w:rsidRPr="00361506">
              <w:rPr>
                <w:rFonts w:ascii="Calibri" w:eastAsia="Times New Roman" w:hAnsi="Calibri" w:cs="Calibri"/>
                <w:color w:val="000000"/>
                <w:lang w:val="en-GB" w:eastAsia="en-GB"/>
              </w:rPr>
              <w:t>25</w:t>
            </w:r>
          </w:p>
        </w:tc>
        <w:tc>
          <w:tcPr>
            <w:tcW w:w="1207" w:type="dxa"/>
            <w:tcBorders>
              <w:top w:val="nil"/>
              <w:left w:val="nil"/>
              <w:bottom w:val="single" w:sz="4" w:space="0" w:color="auto"/>
              <w:right w:val="single" w:sz="4" w:space="0" w:color="auto"/>
            </w:tcBorders>
            <w:noWrap/>
            <w:vAlign w:val="bottom"/>
          </w:tcPr>
          <w:p w14:paraId="4EF4FF3C" w14:textId="77777777" w:rsidR="00361506" w:rsidRPr="00361506" w:rsidRDefault="00361506" w:rsidP="00361506">
            <w:pPr>
              <w:jc w:val="center"/>
              <w:rPr>
                <w:rFonts w:ascii="Calibri" w:eastAsia="Times New Roman" w:hAnsi="Calibri" w:cs="Calibri"/>
                <w:color w:val="000000"/>
                <w:lang w:val="en-GB" w:eastAsia="en-GB"/>
              </w:rPr>
            </w:pPr>
            <w:r w:rsidRPr="00361506">
              <w:rPr>
                <w:rFonts w:ascii="Calibri" w:eastAsia="Times New Roman" w:hAnsi="Calibri" w:cs="Calibri"/>
                <w:color w:val="000000"/>
                <w:lang w:val="en-GB" w:eastAsia="en-GB"/>
              </w:rPr>
              <w:t>0</w:t>
            </w:r>
          </w:p>
        </w:tc>
        <w:tc>
          <w:tcPr>
            <w:tcW w:w="1964" w:type="dxa"/>
            <w:tcBorders>
              <w:top w:val="nil"/>
              <w:left w:val="nil"/>
              <w:bottom w:val="single" w:sz="4" w:space="0" w:color="auto"/>
              <w:right w:val="single" w:sz="4" w:space="0" w:color="auto"/>
            </w:tcBorders>
            <w:noWrap/>
            <w:vAlign w:val="bottom"/>
          </w:tcPr>
          <w:p w14:paraId="27F0825B" w14:textId="77777777" w:rsidR="00361506" w:rsidRPr="00361506" w:rsidRDefault="00361506" w:rsidP="00361506">
            <w:pPr>
              <w:jc w:val="center"/>
              <w:rPr>
                <w:rFonts w:ascii="Calibri" w:eastAsia="Times New Roman" w:hAnsi="Calibri" w:cs="Calibri"/>
                <w:color w:val="000000"/>
                <w:lang w:val="en-GB" w:eastAsia="en-GB"/>
              </w:rPr>
            </w:pPr>
            <w:r w:rsidRPr="00361506">
              <w:rPr>
                <w:rFonts w:ascii="Calibri" w:eastAsia="Times New Roman" w:hAnsi="Calibri" w:cs="Calibri"/>
                <w:color w:val="000000"/>
                <w:lang w:val="en-GB" w:eastAsia="en-GB"/>
              </w:rPr>
              <w:t>20</w:t>
            </w:r>
          </w:p>
        </w:tc>
      </w:tr>
      <w:tr w:rsidR="00361506" w:rsidRPr="00361506" w14:paraId="20CCE21D" w14:textId="77777777" w:rsidTr="00E00CEF">
        <w:trPr>
          <w:trHeight w:val="245"/>
        </w:trPr>
        <w:tc>
          <w:tcPr>
            <w:tcW w:w="2458" w:type="dxa"/>
            <w:tcBorders>
              <w:top w:val="nil"/>
              <w:left w:val="single" w:sz="4" w:space="0" w:color="auto"/>
              <w:bottom w:val="single" w:sz="4" w:space="0" w:color="auto"/>
              <w:right w:val="single" w:sz="4" w:space="0" w:color="auto"/>
            </w:tcBorders>
            <w:noWrap/>
            <w:vAlign w:val="bottom"/>
            <w:hideMark/>
          </w:tcPr>
          <w:p w14:paraId="4920C898" w14:textId="77777777" w:rsidR="00361506" w:rsidRPr="00361506" w:rsidRDefault="00361506" w:rsidP="00361506">
            <w:pPr>
              <w:rPr>
                <w:rFonts w:ascii="Calibri" w:eastAsia="Times New Roman" w:hAnsi="Calibri" w:cs="Calibri"/>
                <w:color w:val="000000"/>
                <w:lang w:val="en-GB" w:eastAsia="en-GB"/>
              </w:rPr>
            </w:pPr>
            <w:r w:rsidRPr="00361506">
              <w:rPr>
                <w:rFonts w:ascii="Calibri" w:eastAsia="Times New Roman" w:hAnsi="Calibri" w:cs="Calibri"/>
                <w:color w:val="000000"/>
                <w:lang w:val="en-GB" w:eastAsia="en-GB"/>
              </w:rPr>
              <w:t>Medicine</w:t>
            </w:r>
          </w:p>
        </w:tc>
        <w:tc>
          <w:tcPr>
            <w:tcW w:w="1207" w:type="dxa"/>
            <w:tcBorders>
              <w:top w:val="nil"/>
              <w:left w:val="nil"/>
              <w:bottom w:val="single" w:sz="4" w:space="0" w:color="auto"/>
              <w:right w:val="single" w:sz="4" w:space="0" w:color="auto"/>
            </w:tcBorders>
            <w:noWrap/>
            <w:vAlign w:val="bottom"/>
          </w:tcPr>
          <w:p w14:paraId="09BC3DAC" w14:textId="103D296C" w:rsidR="00361506" w:rsidRPr="00361506" w:rsidRDefault="00C66679" w:rsidP="00361506">
            <w:pPr>
              <w:jc w:val="center"/>
              <w:rPr>
                <w:rFonts w:ascii="Calibri" w:eastAsia="Times New Roman" w:hAnsi="Calibri" w:cs="Calibri"/>
                <w:color w:val="000000"/>
                <w:lang w:val="en-GB" w:eastAsia="en-GB"/>
              </w:rPr>
            </w:pPr>
            <w:r>
              <w:rPr>
                <w:rFonts w:ascii="Calibri" w:eastAsia="Times New Roman" w:hAnsi="Calibri" w:cs="Calibri"/>
                <w:color w:val="000000"/>
                <w:lang w:val="en-GB" w:eastAsia="en-GB"/>
              </w:rPr>
              <w:t>9</w:t>
            </w:r>
          </w:p>
        </w:tc>
        <w:tc>
          <w:tcPr>
            <w:tcW w:w="1207" w:type="dxa"/>
            <w:tcBorders>
              <w:top w:val="nil"/>
              <w:left w:val="nil"/>
              <w:bottom w:val="single" w:sz="4" w:space="0" w:color="auto"/>
              <w:right w:val="single" w:sz="4" w:space="0" w:color="auto"/>
            </w:tcBorders>
            <w:noWrap/>
            <w:vAlign w:val="bottom"/>
          </w:tcPr>
          <w:p w14:paraId="1596A9C8" w14:textId="559AD956" w:rsidR="00361506" w:rsidRPr="00361506" w:rsidRDefault="00361506" w:rsidP="00361506">
            <w:pPr>
              <w:jc w:val="center"/>
              <w:rPr>
                <w:rFonts w:ascii="Calibri" w:eastAsia="Times New Roman" w:hAnsi="Calibri" w:cs="Calibri"/>
                <w:color w:val="000000"/>
                <w:lang w:val="en-GB" w:eastAsia="en-GB"/>
              </w:rPr>
            </w:pPr>
            <w:r w:rsidRPr="00361506">
              <w:rPr>
                <w:rFonts w:ascii="Calibri" w:eastAsia="Times New Roman" w:hAnsi="Calibri" w:cs="Calibri"/>
                <w:color w:val="000000"/>
                <w:lang w:val="en-GB" w:eastAsia="en-GB"/>
              </w:rPr>
              <w:t>12</w:t>
            </w:r>
          </w:p>
        </w:tc>
        <w:tc>
          <w:tcPr>
            <w:tcW w:w="1207" w:type="dxa"/>
            <w:tcBorders>
              <w:top w:val="nil"/>
              <w:left w:val="nil"/>
              <w:bottom w:val="single" w:sz="4" w:space="0" w:color="auto"/>
              <w:right w:val="single" w:sz="4" w:space="0" w:color="auto"/>
            </w:tcBorders>
            <w:noWrap/>
            <w:vAlign w:val="bottom"/>
          </w:tcPr>
          <w:p w14:paraId="4FFC1D45" w14:textId="007DA81C" w:rsidR="00361506" w:rsidRPr="00361506" w:rsidRDefault="00361506" w:rsidP="00361506">
            <w:pPr>
              <w:jc w:val="center"/>
              <w:rPr>
                <w:rFonts w:ascii="Calibri" w:eastAsia="Times New Roman" w:hAnsi="Calibri" w:cs="Calibri"/>
                <w:color w:val="000000"/>
                <w:lang w:val="en-GB" w:eastAsia="en-GB"/>
              </w:rPr>
            </w:pPr>
            <w:r w:rsidRPr="00361506">
              <w:rPr>
                <w:rFonts w:ascii="Calibri" w:eastAsia="Times New Roman" w:hAnsi="Calibri" w:cs="Calibri"/>
                <w:color w:val="000000"/>
                <w:lang w:val="en-GB" w:eastAsia="en-GB"/>
              </w:rPr>
              <w:t>1</w:t>
            </w:r>
            <w:r w:rsidR="00C66679">
              <w:rPr>
                <w:rFonts w:ascii="Calibri" w:eastAsia="Times New Roman" w:hAnsi="Calibri" w:cs="Calibri"/>
                <w:color w:val="000000"/>
                <w:lang w:val="en-GB" w:eastAsia="en-GB"/>
              </w:rPr>
              <w:t>4</w:t>
            </w:r>
          </w:p>
        </w:tc>
        <w:tc>
          <w:tcPr>
            <w:tcW w:w="1207" w:type="dxa"/>
            <w:tcBorders>
              <w:top w:val="nil"/>
              <w:left w:val="nil"/>
              <w:bottom w:val="single" w:sz="4" w:space="0" w:color="auto"/>
              <w:right w:val="single" w:sz="4" w:space="0" w:color="auto"/>
            </w:tcBorders>
            <w:noWrap/>
            <w:vAlign w:val="bottom"/>
          </w:tcPr>
          <w:p w14:paraId="15FBC213" w14:textId="77777777" w:rsidR="00361506" w:rsidRPr="00361506" w:rsidRDefault="00361506" w:rsidP="00361506">
            <w:pPr>
              <w:jc w:val="center"/>
              <w:rPr>
                <w:rFonts w:ascii="Calibri" w:eastAsia="Times New Roman" w:hAnsi="Calibri" w:cs="Calibri"/>
                <w:color w:val="000000"/>
                <w:lang w:val="en-GB" w:eastAsia="en-GB"/>
              </w:rPr>
            </w:pPr>
            <w:r w:rsidRPr="00361506">
              <w:rPr>
                <w:rFonts w:ascii="Calibri" w:eastAsia="Times New Roman" w:hAnsi="Calibri" w:cs="Calibri"/>
                <w:color w:val="000000"/>
                <w:lang w:val="en-GB" w:eastAsia="en-GB"/>
              </w:rPr>
              <w:t>7</w:t>
            </w:r>
          </w:p>
        </w:tc>
        <w:tc>
          <w:tcPr>
            <w:tcW w:w="1964" w:type="dxa"/>
            <w:tcBorders>
              <w:top w:val="nil"/>
              <w:left w:val="nil"/>
              <w:bottom w:val="single" w:sz="4" w:space="0" w:color="auto"/>
              <w:right w:val="single" w:sz="4" w:space="0" w:color="auto"/>
            </w:tcBorders>
            <w:noWrap/>
            <w:vAlign w:val="bottom"/>
          </w:tcPr>
          <w:p w14:paraId="76511CDB" w14:textId="4A2D7E47" w:rsidR="00361506" w:rsidRPr="00361506" w:rsidRDefault="00361506" w:rsidP="00361506">
            <w:pPr>
              <w:jc w:val="center"/>
              <w:rPr>
                <w:rFonts w:ascii="Calibri" w:eastAsia="Times New Roman" w:hAnsi="Calibri" w:cs="Calibri"/>
                <w:color w:val="000000"/>
                <w:lang w:val="en-GB" w:eastAsia="en-GB"/>
              </w:rPr>
            </w:pPr>
            <w:r w:rsidRPr="00361506">
              <w:rPr>
                <w:rFonts w:ascii="Calibri" w:eastAsia="Times New Roman" w:hAnsi="Calibri" w:cs="Calibri"/>
                <w:color w:val="000000"/>
                <w:lang w:val="en-GB" w:eastAsia="en-GB"/>
              </w:rPr>
              <w:t>1</w:t>
            </w:r>
            <w:r w:rsidR="00C66679">
              <w:rPr>
                <w:rFonts w:ascii="Calibri" w:eastAsia="Times New Roman" w:hAnsi="Calibri" w:cs="Calibri"/>
                <w:color w:val="000000"/>
                <w:lang w:val="en-GB" w:eastAsia="en-GB"/>
              </w:rPr>
              <w:t>1</w:t>
            </w:r>
          </w:p>
        </w:tc>
      </w:tr>
      <w:tr w:rsidR="00361506" w:rsidRPr="00361506" w14:paraId="37F7EAC7" w14:textId="77777777" w:rsidTr="00E00CEF">
        <w:trPr>
          <w:trHeight w:val="245"/>
        </w:trPr>
        <w:tc>
          <w:tcPr>
            <w:tcW w:w="2458" w:type="dxa"/>
            <w:tcBorders>
              <w:top w:val="nil"/>
              <w:left w:val="single" w:sz="4" w:space="0" w:color="auto"/>
              <w:bottom w:val="single" w:sz="4" w:space="0" w:color="auto"/>
              <w:right w:val="single" w:sz="4" w:space="0" w:color="auto"/>
            </w:tcBorders>
            <w:noWrap/>
            <w:vAlign w:val="bottom"/>
            <w:hideMark/>
          </w:tcPr>
          <w:p w14:paraId="6F0B433B" w14:textId="77777777" w:rsidR="00361506" w:rsidRPr="00361506" w:rsidRDefault="00361506" w:rsidP="00361506">
            <w:pPr>
              <w:rPr>
                <w:rFonts w:ascii="Calibri" w:eastAsia="Times New Roman" w:hAnsi="Calibri" w:cs="Calibri"/>
                <w:color w:val="000000"/>
                <w:lang w:val="en-GB" w:eastAsia="en-GB"/>
              </w:rPr>
            </w:pPr>
            <w:r w:rsidRPr="00361506">
              <w:rPr>
                <w:rFonts w:ascii="Calibri" w:eastAsia="Times New Roman" w:hAnsi="Calibri" w:cs="Calibri"/>
                <w:color w:val="000000"/>
                <w:lang w:val="en-GB" w:eastAsia="en-GB"/>
              </w:rPr>
              <w:t>Surgery</w:t>
            </w:r>
          </w:p>
        </w:tc>
        <w:tc>
          <w:tcPr>
            <w:tcW w:w="1207" w:type="dxa"/>
            <w:tcBorders>
              <w:top w:val="nil"/>
              <w:left w:val="nil"/>
              <w:bottom w:val="single" w:sz="4" w:space="0" w:color="auto"/>
              <w:right w:val="single" w:sz="4" w:space="0" w:color="auto"/>
            </w:tcBorders>
            <w:noWrap/>
            <w:vAlign w:val="bottom"/>
          </w:tcPr>
          <w:p w14:paraId="1E1F2054" w14:textId="25661E24" w:rsidR="00361506" w:rsidRPr="00361506" w:rsidRDefault="00C66679" w:rsidP="00361506">
            <w:pPr>
              <w:jc w:val="center"/>
              <w:rPr>
                <w:rFonts w:ascii="Calibri" w:eastAsia="Times New Roman" w:hAnsi="Calibri" w:cs="Calibri"/>
                <w:color w:val="000000"/>
                <w:lang w:val="en-GB" w:eastAsia="en-GB"/>
              </w:rPr>
            </w:pPr>
            <w:r>
              <w:rPr>
                <w:rFonts w:ascii="Calibri" w:eastAsia="Times New Roman" w:hAnsi="Calibri" w:cs="Calibri"/>
                <w:color w:val="000000"/>
                <w:lang w:val="en-GB" w:eastAsia="en-GB"/>
              </w:rPr>
              <w:t>9</w:t>
            </w:r>
          </w:p>
        </w:tc>
        <w:tc>
          <w:tcPr>
            <w:tcW w:w="1207" w:type="dxa"/>
            <w:tcBorders>
              <w:top w:val="nil"/>
              <w:left w:val="nil"/>
              <w:bottom w:val="single" w:sz="4" w:space="0" w:color="auto"/>
              <w:right w:val="single" w:sz="4" w:space="0" w:color="auto"/>
            </w:tcBorders>
            <w:noWrap/>
            <w:vAlign w:val="bottom"/>
          </w:tcPr>
          <w:p w14:paraId="2B27ED97" w14:textId="77777777" w:rsidR="00361506" w:rsidRPr="00361506" w:rsidRDefault="00361506" w:rsidP="00361506">
            <w:pPr>
              <w:jc w:val="center"/>
              <w:rPr>
                <w:rFonts w:ascii="Calibri" w:eastAsia="Times New Roman" w:hAnsi="Calibri" w:cs="Calibri"/>
                <w:color w:val="000000"/>
                <w:lang w:val="en-GB" w:eastAsia="en-GB"/>
              </w:rPr>
            </w:pPr>
            <w:r w:rsidRPr="00361506">
              <w:rPr>
                <w:rFonts w:ascii="Calibri" w:eastAsia="Times New Roman" w:hAnsi="Calibri" w:cs="Calibri"/>
                <w:color w:val="000000"/>
                <w:lang w:val="en-GB" w:eastAsia="en-GB"/>
              </w:rPr>
              <w:t>20</w:t>
            </w:r>
          </w:p>
        </w:tc>
        <w:tc>
          <w:tcPr>
            <w:tcW w:w="1207" w:type="dxa"/>
            <w:tcBorders>
              <w:top w:val="nil"/>
              <w:left w:val="nil"/>
              <w:bottom w:val="single" w:sz="4" w:space="0" w:color="auto"/>
              <w:right w:val="single" w:sz="4" w:space="0" w:color="auto"/>
            </w:tcBorders>
            <w:noWrap/>
            <w:vAlign w:val="bottom"/>
          </w:tcPr>
          <w:p w14:paraId="35D280BD" w14:textId="04AC2B70" w:rsidR="00361506" w:rsidRPr="00361506" w:rsidRDefault="00361506" w:rsidP="00361506">
            <w:pPr>
              <w:jc w:val="center"/>
              <w:rPr>
                <w:rFonts w:ascii="Calibri" w:eastAsia="Times New Roman" w:hAnsi="Calibri" w:cs="Calibri"/>
                <w:color w:val="000000"/>
                <w:lang w:val="en-GB" w:eastAsia="en-GB"/>
              </w:rPr>
            </w:pPr>
            <w:r w:rsidRPr="00361506">
              <w:rPr>
                <w:rFonts w:ascii="Calibri" w:eastAsia="Times New Roman" w:hAnsi="Calibri" w:cs="Calibri"/>
                <w:color w:val="000000"/>
                <w:lang w:val="en-GB" w:eastAsia="en-GB"/>
              </w:rPr>
              <w:t>1</w:t>
            </w:r>
            <w:r w:rsidR="00C66679">
              <w:rPr>
                <w:rFonts w:ascii="Calibri" w:eastAsia="Times New Roman" w:hAnsi="Calibri" w:cs="Calibri"/>
                <w:color w:val="000000"/>
                <w:lang w:val="en-GB" w:eastAsia="en-GB"/>
              </w:rPr>
              <w:t>5</w:t>
            </w:r>
          </w:p>
        </w:tc>
        <w:tc>
          <w:tcPr>
            <w:tcW w:w="1207" w:type="dxa"/>
            <w:tcBorders>
              <w:top w:val="nil"/>
              <w:left w:val="nil"/>
              <w:bottom w:val="single" w:sz="4" w:space="0" w:color="auto"/>
              <w:right w:val="single" w:sz="4" w:space="0" w:color="auto"/>
            </w:tcBorders>
            <w:noWrap/>
            <w:vAlign w:val="bottom"/>
          </w:tcPr>
          <w:p w14:paraId="67A1A60E" w14:textId="41A5F410" w:rsidR="00361506" w:rsidRPr="00361506" w:rsidRDefault="00C66679" w:rsidP="00361506">
            <w:pPr>
              <w:jc w:val="center"/>
              <w:rPr>
                <w:rFonts w:ascii="Calibri" w:eastAsia="Times New Roman" w:hAnsi="Calibri" w:cs="Calibri"/>
                <w:color w:val="000000"/>
                <w:lang w:val="en-GB" w:eastAsia="en-GB"/>
              </w:rPr>
            </w:pPr>
            <w:r>
              <w:rPr>
                <w:rFonts w:ascii="Calibri" w:eastAsia="Times New Roman" w:hAnsi="Calibri" w:cs="Calibri"/>
                <w:color w:val="000000"/>
                <w:lang w:val="en-GB" w:eastAsia="en-GB"/>
              </w:rPr>
              <w:t>5</w:t>
            </w:r>
          </w:p>
        </w:tc>
        <w:tc>
          <w:tcPr>
            <w:tcW w:w="1964" w:type="dxa"/>
            <w:tcBorders>
              <w:top w:val="nil"/>
              <w:left w:val="nil"/>
              <w:bottom w:val="single" w:sz="4" w:space="0" w:color="auto"/>
              <w:right w:val="single" w:sz="4" w:space="0" w:color="auto"/>
            </w:tcBorders>
            <w:noWrap/>
            <w:vAlign w:val="bottom"/>
          </w:tcPr>
          <w:p w14:paraId="3F6C474B" w14:textId="123D3DE2" w:rsidR="00361506" w:rsidRPr="00361506" w:rsidRDefault="00361506" w:rsidP="00361506">
            <w:pPr>
              <w:jc w:val="center"/>
              <w:rPr>
                <w:rFonts w:ascii="Calibri" w:eastAsia="Times New Roman" w:hAnsi="Calibri" w:cs="Calibri"/>
                <w:color w:val="000000"/>
                <w:lang w:val="en-GB" w:eastAsia="en-GB"/>
              </w:rPr>
            </w:pPr>
            <w:r w:rsidRPr="00361506">
              <w:rPr>
                <w:rFonts w:ascii="Calibri" w:eastAsia="Times New Roman" w:hAnsi="Calibri" w:cs="Calibri"/>
                <w:color w:val="000000"/>
                <w:lang w:val="en-GB" w:eastAsia="en-GB"/>
              </w:rPr>
              <w:t>1</w:t>
            </w:r>
            <w:r w:rsidR="00C66679">
              <w:rPr>
                <w:rFonts w:ascii="Calibri" w:eastAsia="Times New Roman" w:hAnsi="Calibri" w:cs="Calibri"/>
                <w:color w:val="000000"/>
                <w:lang w:val="en-GB" w:eastAsia="en-GB"/>
              </w:rPr>
              <w:t>3</w:t>
            </w:r>
          </w:p>
        </w:tc>
      </w:tr>
      <w:tr w:rsidR="00361506" w:rsidRPr="00361506" w14:paraId="726E280D" w14:textId="77777777" w:rsidTr="00E00CEF">
        <w:trPr>
          <w:trHeight w:val="245"/>
        </w:trPr>
        <w:tc>
          <w:tcPr>
            <w:tcW w:w="2458" w:type="dxa"/>
            <w:tcBorders>
              <w:top w:val="nil"/>
              <w:left w:val="single" w:sz="4" w:space="0" w:color="auto"/>
              <w:bottom w:val="single" w:sz="4" w:space="0" w:color="auto"/>
              <w:right w:val="single" w:sz="4" w:space="0" w:color="auto"/>
            </w:tcBorders>
            <w:noWrap/>
            <w:vAlign w:val="bottom"/>
            <w:hideMark/>
          </w:tcPr>
          <w:p w14:paraId="3CF6A8AA" w14:textId="77777777" w:rsidR="00361506" w:rsidRPr="00361506" w:rsidRDefault="00361506" w:rsidP="00361506">
            <w:pPr>
              <w:rPr>
                <w:rFonts w:ascii="Calibri" w:eastAsia="Times New Roman" w:hAnsi="Calibri" w:cs="Calibri"/>
                <w:color w:val="000000"/>
                <w:lang w:val="en-GB" w:eastAsia="en-GB"/>
              </w:rPr>
            </w:pPr>
            <w:r w:rsidRPr="00361506">
              <w:rPr>
                <w:rFonts w:ascii="Calibri" w:eastAsia="Times New Roman" w:hAnsi="Calibri" w:cs="Calibri"/>
                <w:color w:val="000000"/>
                <w:lang w:val="en-GB" w:eastAsia="en-GB"/>
              </w:rPr>
              <w:t>W&amp;C</w:t>
            </w:r>
          </w:p>
        </w:tc>
        <w:tc>
          <w:tcPr>
            <w:tcW w:w="1207" w:type="dxa"/>
            <w:tcBorders>
              <w:top w:val="nil"/>
              <w:left w:val="nil"/>
              <w:bottom w:val="single" w:sz="4" w:space="0" w:color="auto"/>
              <w:right w:val="single" w:sz="4" w:space="0" w:color="auto"/>
            </w:tcBorders>
            <w:noWrap/>
            <w:vAlign w:val="bottom"/>
          </w:tcPr>
          <w:p w14:paraId="5DB14976" w14:textId="1F6E731A" w:rsidR="00361506" w:rsidRPr="00361506" w:rsidRDefault="00361506" w:rsidP="00361506">
            <w:pPr>
              <w:jc w:val="center"/>
              <w:rPr>
                <w:rFonts w:ascii="Calibri" w:eastAsia="Times New Roman" w:hAnsi="Calibri" w:cs="Calibri"/>
                <w:color w:val="000000"/>
                <w:lang w:val="en-GB" w:eastAsia="en-GB"/>
              </w:rPr>
            </w:pPr>
            <w:r w:rsidRPr="00361506">
              <w:rPr>
                <w:rFonts w:ascii="Calibri" w:eastAsia="Times New Roman" w:hAnsi="Calibri" w:cs="Calibri"/>
                <w:color w:val="000000"/>
                <w:lang w:val="en-GB" w:eastAsia="en-GB"/>
              </w:rPr>
              <w:t>10</w:t>
            </w:r>
          </w:p>
        </w:tc>
        <w:tc>
          <w:tcPr>
            <w:tcW w:w="1207" w:type="dxa"/>
            <w:tcBorders>
              <w:top w:val="nil"/>
              <w:left w:val="nil"/>
              <w:bottom w:val="single" w:sz="4" w:space="0" w:color="auto"/>
              <w:right w:val="single" w:sz="4" w:space="0" w:color="auto"/>
            </w:tcBorders>
            <w:noWrap/>
            <w:vAlign w:val="bottom"/>
          </w:tcPr>
          <w:p w14:paraId="755C2D8C" w14:textId="305BBC26" w:rsidR="00361506" w:rsidRPr="00361506" w:rsidRDefault="00361506" w:rsidP="00361506">
            <w:pPr>
              <w:jc w:val="center"/>
              <w:rPr>
                <w:rFonts w:ascii="Calibri" w:eastAsia="Times New Roman" w:hAnsi="Calibri" w:cs="Calibri"/>
                <w:color w:val="000000"/>
                <w:lang w:val="en-GB" w:eastAsia="en-GB"/>
              </w:rPr>
            </w:pPr>
            <w:r w:rsidRPr="00361506">
              <w:rPr>
                <w:rFonts w:ascii="Calibri" w:eastAsia="Times New Roman" w:hAnsi="Calibri" w:cs="Calibri"/>
                <w:color w:val="000000"/>
                <w:lang w:val="en-GB" w:eastAsia="en-GB"/>
              </w:rPr>
              <w:t>11</w:t>
            </w:r>
          </w:p>
        </w:tc>
        <w:tc>
          <w:tcPr>
            <w:tcW w:w="1207" w:type="dxa"/>
            <w:tcBorders>
              <w:top w:val="nil"/>
              <w:left w:val="nil"/>
              <w:bottom w:val="single" w:sz="4" w:space="0" w:color="auto"/>
              <w:right w:val="single" w:sz="4" w:space="0" w:color="auto"/>
            </w:tcBorders>
            <w:noWrap/>
            <w:vAlign w:val="bottom"/>
          </w:tcPr>
          <w:p w14:paraId="6C4C5376" w14:textId="2C3AE6CE" w:rsidR="00361506" w:rsidRPr="00361506" w:rsidRDefault="00C66679" w:rsidP="00361506">
            <w:pPr>
              <w:jc w:val="center"/>
              <w:rPr>
                <w:rFonts w:ascii="Calibri" w:eastAsia="Times New Roman" w:hAnsi="Calibri" w:cs="Calibri"/>
                <w:color w:val="000000"/>
                <w:lang w:val="en-GB" w:eastAsia="en-GB"/>
              </w:rPr>
            </w:pPr>
            <w:r>
              <w:rPr>
                <w:rFonts w:ascii="Calibri" w:eastAsia="Times New Roman" w:hAnsi="Calibri" w:cs="Calibri"/>
                <w:color w:val="000000"/>
                <w:lang w:val="en-GB" w:eastAsia="en-GB"/>
              </w:rPr>
              <w:t>7</w:t>
            </w:r>
          </w:p>
        </w:tc>
        <w:tc>
          <w:tcPr>
            <w:tcW w:w="1207" w:type="dxa"/>
            <w:tcBorders>
              <w:top w:val="nil"/>
              <w:left w:val="nil"/>
              <w:bottom w:val="single" w:sz="4" w:space="0" w:color="auto"/>
              <w:right w:val="single" w:sz="4" w:space="0" w:color="auto"/>
            </w:tcBorders>
            <w:noWrap/>
            <w:vAlign w:val="bottom"/>
          </w:tcPr>
          <w:p w14:paraId="472ABC98" w14:textId="11BE916E" w:rsidR="00361506" w:rsidRPr="00361506" w:rsidRDefault="00361506" w:rsidP="00361506">
            <w:pPr>
              <w:jc w:val="center"/>
              <w:rPr>
                <w:rFonts w:ascii="Calibri" w:eastAsia="Times New Roman" w:hAnsi="Calibri" w:cs="Calibri"/>
                <w:color w:val="000000"/>
                <w:lang w:val="en-GB" w:eastAsia="en-GB"/>
              </w:rPr>
            </w:pPr>
            <w:r w:rsidRPr="00361506">
              <w:rPr>
                <w:rFonts w:ascii="Calibri" w:eastAsia="Times New Roman" w:hAnsi="Calibri" w:cs="Calibri"/>
                <w:color w:val="000000"/>
                <w:lang w:val="en-GB" w:eastAsia="en-GB"/>
              </w:rPr>
              <w:t>16</w:t>
            </w:r>
          </w:p>
        </w:tc>
        <w:tc>
          <w:tcPr>
            <w:tcW w:w="1964" w:type="dxa"/>
            <w:tcBorders>
              <w:top w:val="nil"/>
              <w:left w:val="nil"/>
              <w:bottom w:val="single" w:sz="4" w:space="0" w:color="auto"/>
              <w:right w:val="single" w:sz="4" w:space="0" w:color="auto"/>
            </w:tcBorders>
            <w:noWrap/>
            <w:vAlign w:val="bottom"/>
          </w:tcPr>
          <w:p w14:paraId="4D91EE42" w14:textId="1ECD4558" w:rsidR="00361506" w:rsidRPr="00361506" w:rsidRDefault="00361506" w:rsidP="00361506">
            <w:pPr>
              <w:jc w:val="center"/>
              <w:rPr>
                <w:rFonts w:ascii="Calibri" w:eastAsia="Times New Roman" w:hAnsi="Calibri" w:cs="Calibri"/>
                <w:color w:val="000000"/>
                <w:lang w:val="en-GB" w:eastAsia="en-GB"/>
              </w:rPr>
            </w:pPr>
            <w:r w:rsidRPr="00361506">
              <w:rPr>
                <w:rFonts w:ascii="Calibri" w:eastAsia="Times New Roman" w:hAnsi="Calibri" w:cs="Calibri"/>
                <w:color w:val="000000"/>
                <w:lang w:val="en-GB" w:eastAsia="en-GB"/>
              </w:rPr>
              <w:t>1</w:t>
            </w:r>
            <w:r w:rsidR="00185536">
              <w:rPr>
                <w:rFonts w:ascii="Calibri" w:eastAsia="Times New Roman" w:hAnsi="Calibri" w:cs="Calibri"/>
                <w:color w:val="000000"/>
                <w:lang w:val="en-GB" w:eastAsia="en-GB"/>
              </w:rPr>
              <w:t>2</w:t>
            </w:r>
          </w:p>
        </w:tc>
      </w:tr>
      <w:tr w:rsidR="00361506" w:rsidRPr="00361506" w14:paraId="60412287" w14:textId="77777777" w:rsidTr="00E00CEF">
        <w:trPr>
          <w:trHeight w:val="245"/>
        </w:trPr>
        <w:tc>
          <w:tcPr>
            <w:tcW w:w="2458" w:type="dxa"/>
            <w:tcBorders>
              <w:top w:val="nil"/>
              <w:left w:val="single" w:sz="4" w:space="0" w:color="auto"/>
              <w:bottom w:val="single" w:sz="4" w:space="0" w:color="auto"/>
              <w:right w:val="single" w:sz="4" w:space="0" w:color="auto"/>
            </w:tcBorders>
            <w:shd w:val="clear" w:color="000000" w:fill="B8CCE4"/>
            <w:noWrap/>
            <w:vAlign w:val="bottom"/>
            <w:hideMark/>
          </w:tcPr>
          <w:p w14:paraId="07035EE8" w14:textId="77777777" w:rsidR="00361506" w:rsidRPr="00361506" w:rsidRDefault="00361506" w:rsidP="00361506">
            <w:pPr>
              <w:rPr>
                <w:rFonts w:ascii="Calibri" w:eastAsia="Times New Roman" w:hAnsi="Calibri" w:cs="Calibri"/>
                <w:b/>
                <w:bCs/>
                <w:color w:val="000000"/>
                <w:lang w:val="en-GB" w:eastAsia="en-GB"/>
              </w:rPr>
            </w:pPr>
            <w:r w:rsidRPr="00361506">
              <w:rPr>
                <w:rFonts w:ascii="Calibri" w:eastAsia="Times New Roman" w:hAnsi="Calibri" w:cs="Calibri"/>
                <w:b/>
                <w:bCs/>
                <w:color w:val="000000"/>
                <w:lang w:val="en-GB" w:eastAsia="en-GB"/>
              </w:rPr>
              <w:t>Total</w:t>
            </w:r>
          </w:p>
        </w:tc>
        <w:tc>
          <w:tcPr>
            <w:tcW w:w="1207" w:type="dxa"/>
            <w:tcBorders>
              <w:top w:val="nil"/>
              <w:left w:val="nil"/>
              <w:bottom w:val="single" w:sz="4" w:space="0" w:color="auto"/>
              <w:right w:val="single" w:sz="4" w:space="0" w:color="auto"/>
            </w:tcBorders>
            <w:shd w:val="clear" w:color="000000" w:fill="B8CCE4"/>
            <w:noWrap/>
            <w:vAlign w:val="bottom"/>
          </w:tcPr>
          <w:p w14:paraId="275C9837" w14:textId="348146EF" w:rsidR="00361506" w:rsidRPr="00361506" w:rsidRDefault="00361506" w:rsidP="00361506">
            <w:pPr>
              <w:jc w:val="center"/>
              <w:rPr>
                <w:rFonts w:ascii="Calibri" w:eastAsia="Times New Roman" w:hAnsi="Calibri" w:cs="Calibri"/>
                <w:color w:val="000000"/>
                <w:lang w:val="en-GB" w:eastAsia="en-GB"/>
              </w:rPr>
            </w:pPr>
            <w:r w:rsidRPr="00361506">
              <w:rPr>
                <w:rFonts w:ascii="Calibri" w:eastAsia="Times New Roman" w:hAnsi="Calibri" w:cs="Calibri"/>
                <w:color w:val="000000"/>
                <w:lang w:val="en-GB" w:eastAsia="en-GB"/>
              </w:rPr>
              <w:t>1</w:t>
            </w:r>
            <w:r w:rsidR="00185536">
              <w:rPr>
                <w:rFonts w:ascii="Calibri" w:eastAsia="Times New Roman" w:hAnsi="Calibri" w:cs="Calibri"/>
                <w:color w:val="000000"/>
                <w:lang w:val="en-GB" w:eastAsia="en-GB"/>
              </w:rPr>
              <w:t>1</w:t>
            </w:r>
          </w:p>
        </w:tc>
        <w:tc>
          <w:tcPr>
            <w:tcW w:w="1207" w:type="dxa"/>
            <w:tcBorders>
              <w:top w:val="nil"/>
              <w:left w:val="nil"/>
              <w:bottom w:val="single" w:sz="4" w:space="0" w:color="auto"/>
              <w:right w:val="single" w:sz="4" w:space="0" w:color="auto"/>
            </w:tcBorders>
            <w:shd w:val="clear" w:color="000000" w:fill="B8CCE4"/>
            <w:noWrap/>
            <w:vAlign w:val="bottom"/>
          </w:tcPr>
          <w:p w14:paraId="264836B8" w14:textId="05AAE336" w:rsidR="00361506" w:rsidRPr="00361506" w:rsidRDefault="00361506" w:rsidP="00361506">
            <w:pPr>
              <w:jc w:val="center"/>
              <w:rPr>
                <w:rFonts w:ascii="Calibri" w:eastAsia="Times New Roman" w:hAnsi="Calibri" w:cs="Calibri"/>
                <w:color w:val="000000"/>
                <w:lang w:val="en-GB" w:eastAsia="en-GB"/>
              </w:rPr>
            </w:pPr>
            <w:r w:rsidRPr="00361506">
              <w:rPr>
                <w:rFonts w:ascii="Calibri" w:eastAsia="Times New Roman" w:hAnsi="Calibri" w:cs="Calibri"/>
                <w:color w:val="000000"/>
                <w:lang w:val="en-GB" w:eastAsia="en-GB"/>
              </w:rPr>
              <w:t>1</w:t>
            </w:r>
            <w:r w:rsidR="00185536">
              <w:rPr>
                <w:rFonts w:ascii="Calibri" w:eastAsia="Times New Roman" w:hAnsi="Calibri" w:cs="Calibri"/>
                <w:color w:val="000000"/>
                <w:lang w:val="en-GB" w:eastAsia="en-GB"/>
              </w:rPr>
              <w:t>7</w:t>
            </w:r>
          </w:p>
        </w:tc>
        <w:tc>
          <w:tcPr>
            <w:tcW w:w="1207" w:type="dxa"/>
            <w:tcBorders>
              <w:top w:val="nil"/>
              <w:left w:val="nil"/>
              <w:bottom w:val="single" w:sz="4" w:space="0" w:color="auto"/>
              <w:right w:val="single" w:sz="4" w:space="0" w:color="auto"/>
            </w:tcBorders>
            <w:shd w:val="clear" w:color="000000" w:fill="B8CCE4"/>
            <w:noWrap/>
            <w:vAlign w:val="bottom"/>
          </w:tcPr>
          <w:p w14:paraId="3B680849" w14:textId="08748DA4" w:rsidR="00361506" w:rsidRPr="00361506" w:rsidRDefault="00361506" w:rsidP="00361506">
            <w:pPr>
              <w:jc w:val="center"/>
              <w:rPr>
                <w:rFonts w:ascii="Calibri" w:eastAsia="Times New Roman" w:hAnsi="Calibri" w:cs="Calibri"/>
                <w:color w:val="000000"/>
                <w:lang w:val="en-GB" w:eastAsia="en-GB"/>
              </w:rPr>
            </w:pPr>
            <w:r w:rsidRPr="00361506">
              <w:rPr>
                <w:rFonts w:ascii="Calibri" w:eastAsia="Times New Roman" w:hAnsi="Calibri" w:cs="Calibri"/>
                <w:color w:val="000000"/>
                <w:lang w:val="en-GB" w:eastAsia="en-GB"/>
              </w:rPr>
              <w:t>1</w:t>
            </w:r>
            <w:r w:rsidR="00185536">
              <w:rPr>
                <w:rFonts w:ascii="Calibri" w:eastAsia="Times New Roman" w:hAnsi="Calibri" w:cs="Calibri"/>
                <w:color w:val="000000"/>
                <w:lang w:val="en-GB" w:eastAsia="en-GB"/>
              </w:rPr>
              <w:t>5</w:t>
            </w:r>
          </w:p>
        </w:tc>
        <w:tc>
          <w:tcPr>
            <w:tcW w:w="1207" w:type="dxa"/>
            <w:tcBorders>
              <w:top w:val="nil"/>
              <w:left w:val="nil"/>
              <w:bottom w:val="single" w:sz="4" w:space="0" w:color="auto"/>
              <w:right w:val="single" w:sz="4" w:space="0" w:color="auto"/>
            </w:tcBorders>
            <w:shd w:val="clear" w:color="000000" w:fill="B8CCE4"/>
            <w:noWrap/>
            <w:vAlign w:val="bottom"/>
          </w:tcPr>
          <w:p w14:paraId="2112B163" w14:textId="63117862" w:rsidR="00361506" w:rsidRPr="00361506" w:rsidRDefault="00185536" w:rsidP="00361506">
            <w:pPr>
              <w:jc w:val="center"/>
              <w:rPr>
                <w:rFonts w:ascii="Calibri" w:eastAsia="Times New Roman" w:hAnsi="Calibri" w:cs="Calibri"/>
                <w:color w:val="000000"/>
                <w:lang w:val="en-GB" w:eastAsia="en-GB"/>
              </w:rPr>
            </w:pPr>
            <w:r>
              <w:rPr>
                <w:rFonts w:ascii="Calibri" w:eastAsia="Times New Roman" w:hAnsi="Calibri" w:cs="Calibri"/>
                <w:color w:val="000000"/>
                <w:lang w:val="en-GB" w:eastAsia="en-GB"/>
              </w:rPr>
              <w:t>9</w:t>
            </w:r>
          </w:p>
        </w:tc>
        <w:tc>
          <w:tcPr>
            <w:tcW w:w="1964" w:type="dxa"/>
            <w:tcBorders>
              <w:top w:val="nil"/>
              <w:left w:val="nil"/>
              <w:bottom w:val="single" w:sz="4" w:space="0" w:color="auto"/>
              <w:right w:val="single" w:sz="4" w:space="0" w:color="auto"/>
            </w:tcBorders>
            <w:shd w:val="clear" w:color="000000" w:fill="B8CCE4"/>
            <w:noWrap/>
            <w:vAlign w:val="bottom"/>
          </w:tcPr>
          <w:p w14:paraId="652BE6C6" w14:textId="12366440" w:rsidR="00361506" w:rsidRPr="00361506" w:rsidRDefault="00361506" w:rsidP="00361506">
            <w:pPr>
              <w:jc w:val="center"/>
              <w:rPr>
                <w:rFonts w:ascii="Calibri" w:eastAsia="Times New Roman" w:hAnsi="Calibri" w:cs="Calibri"/>
                <w:color w:val="000000"/>
                <w:lang w:val="en-GB" w:eastAsia="en-GB"/>
              </w:rPr>
            </w:pPr>
            <w:r w:rsidRPr="00361506">
              <w:rPr>
                <w:rFonts w:ascii="Calibri" w:eastAsia="Times New Roman" w:hAnsi="Calibri" w:cs="Calibri"/>
                <w:color w:val="000000"/>
                <w:lang w:val="en-GB" w:eastAsia="en-GB"/>
              </w:rPr>
              <w:t>13</w:t>
            </w:r>
          </w:p>
        </w:tc>
      </w:tr>
    </w:tbl>
    <w:p w14:paraId="59226BFD" w14:textId="1895BABB" w:rsidR="0033021A" w:rsidRDefault="0033021A" w:rsidP="003C150D">
      <w:pPr>
        <w:jc w:val="both"/>
        <w:rPr>
          <w:rFonts w:ascii="Arial" w:hAnsi="Arial" w:cs="Arial"/>
          <w:sz w:val="22"/>
          <w:szCs w:val="22"/>
          <w:lang w:val="en-GB"/>
        </w:rPr>
      </w:pPr>
    </w:p>
    <w:p w14:paraId="4329480A" w14:textId="77777777" w:rsidR="0033021A" w:rsidRDefault="0033021A" w:rsidP="003C150D">
      <w:pPr>
        <w:jc w:val="both"/>
        <w:rPr>
          <w:rFonts w:ascii="Arial" w:hAnsi="Arial" w:cs="Arial"/>
          <w:sz w:val="22"/>
          <w:szCs w:val="22"/>
          <w:lang w:val="en-GB"/>
        </w:rPr>
      </w:pPr>
    </w:p>
    <w:p w14:paraId="1092D21A" w14:textId="6A2DA804" w:rsidR="00ED50F3" w:rsidRDefault="00936C1E" w:rsidP="002259DD">
      <w:pPr>
        <w:jc w:val="right"/>
        <w:rPr>
          <w:rFonts w:ascii="Arial" w:hAnsi="Arial" w:cs="Arial"/>
          <w:b/>
          <w:bCs/>
          <w:sz w:val="22"/>
          <w:szCs w:val="22"/>
          <w:lang w:val="en-GB"/>
        </w:rPr>
      </w:pPr>
      <w:r w:rsidRPr="00936C1E">
        <w:rPr>
          <w:rFonts w:ascii="Arial" w:hAnsi="Arial" w:cs="Arial"/>
          <w:b/>
          <w:bCs/>
          <w:sz w:val="22"/>
          <w:szCs w:val="22"/>
          <w:lang w:val="en-GB"/>
        </w:rPr>
        <w:t xml:space="preserve">Table </w:t>
      </w:r>
      <w:r w:rsidR="00FE6128">
        <w:rPr>
          <w:rFonts w:ascii="Arial" w:hAnsi="Arial" w:cs="Arial"/>
          <w:b/>
          <w:bCs/>
          <w:sz w:val="22"/>
          <w:szCs w:val="22"/>
          <w:lang w:val="en-GB"/>
        </w:rPr>
        <w:t>5</w:t>
      </w:r>
    </w:p>
    <w:p w14:paraId="65EB753B" w14:textId="77777777" w:rsidR="00670A3A" w:rsidRPr="00936C1E" w:rsidRDefault="00670A3A" w:rsidP="00670A3A">
      <w:pPr>
        <w:rPr>
          <w:rFonts w:ascii="Arial" w:hAnsi="Arial" w:cs="Arial"/>
          <w:b/>
          <w:bCs/>
          <w:sz w:val="22"/>
          <w:szCs w:val="22"/>
          <w:lang w:val="en-GB"/>
        </w:rPr>
      </w:pPr>
    </w:p>
    <w:p w14:paraId="7C6A34DA" w14:textId="2B5FF446" w:rsidR="009D7A03" w:rsidRDefault="007D5DD6" w:rsidP="003C150D">
      <w:pPr>
        <w:jc w:val="both"/>
        <w:rPr>
          <w:rFonts w:ascii="Arial" w:hAnsi="Arial" w:cs="Arial"/>
          <w:sz w:val="22"/>
          <w:szCs w:val="22"/>
          <w:lang w:val="en-GB"/>
        </w:rPr>
      </w:pPr>
      <w:r>
        <w:rPr>
          <w:rFonts w:ascii="Arial" w:hAnsi="Arial" w:cs="Arial"/>
          <w:sz w:val="22"/>
          <w:szCs w:val="22"/>
          <w:lang w:val="en-GB"/>
        </w:rPr>
        <w:t xml:space="preserve">The </w:t>
      </w:r>
      <w:r w:rsidR="004D1FBC">
        <w:rPr>
          <w:rFonts w:ascii="Arial" w:hAnsi="Arial" w:cs="Arial"/>
          <w:sz w:val="22"/>
          <w:szCs w:val="22"/>
          <w:lang w:val="en-GB"/>
        </w:rPr>
        <w:t>annual response rate of 1</w:t>
      </w:r>
      <w:r w:rsidR="00AD7048">
        <w:rPr>
          <w:rFonts w:ascii="Arial" w:hAnsi="Arial" w:cs="Arial"/>
          <w:sz w:val="22"/>
          <w:szCs w:val="22"/>
          <w:lang w:val="en-GB"/>
        </w:rPr>
        <w:t>3%</w:t>
      </w:r>
      <w:r w:rsidR="004D1FBC">
        <w:rPr>
          <w:rFonts w:ascii="Arial" w:hAnsi="Arial" w:cs="Arial"/>
          <w:sz w:val="22"/>
          <w:szCs w:val="22"/>
          <w:lang w:val="en-GB"/>
        </w:rPr>
        <w:t xml:space="preserve"> in 202</w:t>
      </w:r>
      <w:r w:rsidR="00AD7048">
        <w:rPr>
          <w:rFonts w:ascii="Arial" w:hAnsi="Arial" w:cs="Arial"/>
          <w:sz w:val="22"/>
          <w:szCs w:val="22"/>
          <w:lang w:val="en-GB"/>
        </w:rPr>
        <w:t>4/2025</w:t>
      </w:r>
      <w:r w:rsidR="004D1FBC">
        <w:rPr>
          <w:rFonts w:ascii="Arial" w:hAnsi="Arial" w:cs="Arial"/>
          <w:sz w:val="22"/>
          <w:szCs w:val="22"/>
          <w:lang w:val="en-GB"/>
        </w:rPr>
        <w:t xml:space="preserve"> has </w:t>
      </w:r>
      <w:r w:rsidR="00AD7048">
        <w:rPr>
          <w:rFonts w:ascii="Arial" w:hAnsi="Arial" w:cs="Arial"/>
          <w:sz w:val="22"/>
          <w:szCs w:val="22"/>
          <w:lang w:val="en-GB"/>
        </w:rPr>
        <w:t>decreased by 5%</w:t>
      </w:r>
      <w:r w:rsidR="004D1FBC">
        <w:rPr>
          <w:rFonts w:ascii="Arial" w:hAnsi="Arial" w:cs="Arial"/>
          <w:sz w:val="22"/>
          <w:szCs w:val="22"/>
          <w:lang w:val="en-GB"/>
        </w:rPr>
        <w:t xml:space="preserve"> when compared to the 1</w:t>
      </w:r>
      <w:r w:rsidR="00AD7048">
        <w:rPr>
          <w:rFonts w:ascii="Arial" w:hAnsi="Arial" w:cs="Arial"/>
          <w:sz w:val="22"/>
          <w:szCs w:val="22"/>
          <w:lang w:val="en-GB"/>
        </w:rPr>
        <w:t>8</w:t>
      </w:r>
      <w:r w:rsidR="004D1FBC">
        <w:rPr>
          <w:rFonts w:ascii="Arial" w:hAnsi="Arial" w:cs="Arial"/>
          <w:sz w:val="22"/>
          <w:szCs w:val="22"/>
          <w:lang w:val="en-GB"/>
        </w:rPr>
        <w:t>% in 202</w:t>
      </w:r>
      <w:r w:rsidR="00AD7048">
        <w:rPr>
          <w:rFonts w:ascii="Arial" w:hAnsi="Arial" w:cs="Arial"/>
          <w:sz w:val="22"/>
          <w:szCs w:val="22"/>
          <w:lang w:val="en-GB"/>
        </w:rPr>
        <w:t>4/2025</w:t>
      </w:r>
      <w:r w:rsidR="00F43D3A">
        <w:rPr>
          <w:rFonts w:ascii="Arial" w:hAnsi="Arial" w:cs="Arial"/>
          <w:sz w:val="22"/>
          <w:szCs w:val="22"/>
          <w:lang w:val="en-GB"/>
        </w:rPr>
        <w:t>.</w:t>
      </w:r>
    </w:p>
    <w:p w14:paraId="5A721DB0" w14:textId="77777777" w:rsidR="00F43D3A" w:rsidRDefault="00F43D3A" w:rsidP="003C150D">
      <w:pPr>
        <w:jc w:val="both"/>
        <w:rPr>
          <w:rFonts w:ascii="Arial" w:hAnsi="Arial" w:cs="Arial"/>
          <w:sz w:val="22"/>
          <w:szCs w:val="22"/>
          <w:lang w:val="en-GB"/>
        </w:rPr>
      </w:pPr>
    </w:p>
    <w:p w14:paraId="6891F9D9" w14:textId="6DE15826" w:rsidR="00F43D3A" w:rsidRDefault="00F43D3A" w:rsidP="003C150D">
      <w:pPr>
        <w:jc w:val="both"/>
        <w:rPr>
          <w:rFonts w:ascii="Arial" w:hAnsi="Arial" w:cs="Arial"/>
          <w:sz w:val="22"/>
          <w:szCs w:val="22"/>
          <w:lang w:val="en-GB"/>
        </w:rPr>
      </w:pPr>
      <w:r>
        <w:rPr>
          <w:rFonts w:ascii="Arial" w:hAnsi="Arial" w:cs="Arial"/>
          <w:sz w:val="22"/>
          <w:szCs w:val="22"/>
          <w:lang w:val="en-GB"/>
        </w:rPr>
        <w:t xml:space="preserve">Reasons for delay are tracked by the Complaint Department.  Those reasons remain consistent across previous years; 50% relating to delayed responses from clinical/nursing leads, 25% relating to delays within the review/approval (by Divisional/Specialty leaders) stage and 25% being due to delays in the Complaint Department, with drafting responses. </w:t>
      </w:r>
    </w:p>
    <w:p w14:paraId="4ECE6C4B" w14:textId="77777777" w:rsidR="008F2A9D" w:rsidRDefault="008F2A9D" w:rsidP="003C150D">
      <w:pPr>
        <w:jc w:val="both"/>
        <w:rPr>
          <w:rFonts w:ascii="Arial" w:hAnsi="Arial" w:cs="Arial"/>
          <w:sz w:val="22"/>
          <w:szCs w:val="22"/>
          <w:lang w:val="en-GB"/>
        </w:rPr>
      </w:pPr>
    </w:p>
    <w:p w14:paraId="5EB613EC" w14:textId="6D6DEB9D" w:rsidR="008F2A9D" w:rsidRDefault="008F2A9D" w:rsidP="003C150D">
      <w:pPr>
        <w:jc w:val="both"/>
        <w:rPr>
          <w:rFonts w:ascii="Arial" w:hAnsi="Arial" w:cs="Arial"/>
          <w:sz w:val="22"/>
          <w:szCs w:val="22"/>
          <w:lang w:val="en-GB"/>
        </w:rPr>
      </w:pPr>
      <w:bookmarkStart w:id="6" w:name="_Hlk207050016"/>
      <w:r w:rsidRPr="008F2A9D">
        <w:rPr>
          <w:rFonts w:ascii="Arial" w:hAnsi="Arial" w:cs="Arial"/>
          <w:sz w:val="22"/>
          <w:szCs w:val="22"/>
          <w:lang w:val="en-GB"/>
        </w:rPr>
        <w:t xml:space="preserve">Measurement of performance in respect of response rates is strict; if a response is not provided at the </w:t>
      </w:r>
      <w:proofErr w:type="gramStart"/>
      <w:r w:rsidRPr="008F2A9D">
        <w:rPr>
          <w:rFonts w:ascii="Arial" w:hAnsi="Arial" w:cs="Arial"/>
          <w:sz w:val="22"/>
          <w:szCs w:val="22"/>
          <w:lang w:val="en-GB"/>
        </w:rPr>
        <w:t>35 or 65 day</w:t>
      </w:r>
      <w:proofErr w:type="gramEnd"/>
      <w:r w:rsidRPr="008F2A9D">
        <w:rPr>
          <w:rFonts w:ascii="Arial" w:hAnsi="Arial" w:cs="Arial"/>
          <w:sz w:val="22"/>
          <w:szCs w:val="22"/>
          <w:lang w:val="en-GB"/>
        </w:rPr>
        <w:t xml:space="preserve"> point, then it is considered to have breached. The extent of the breach can range between minimal (one to two days) and significant, many months.  Response dates are not, typically amended to reflect any mutual agreement (between the Trust and service user) to extend response time frames</w:t>
      </w:r>
      <w:bookmarkEnd w:id="6"/>
      <w:r w:rsidRPr="008F2A9D">
        <w:rPr>
          <w:rFonts w:ascii="Arial" w:hAnsi="Arial" w:cs="Arial"/>
          <w:sz w:val="22"/>
          <w:szCs w:val="22"/>
          <w:lang w:val="en-GB"/>
        </w:rPr>
        <w:t>.</w:t>
      </w:r>
    </w:p>
    <w:p w14:paraId="55A8AA7F" w14:textId="77777777" w:rsidR="00185536" w:rsidRDefault="00185536" w:rsidP="003C150D">
      <w:pPr>
        <w:jc w:val="both"/>
        <w:rPr>
          <w:rFonts w:ascii="Arial" w:hAnsi="Arial" w:cs="Arial"/>
          <w:sz w:val="22"/>
          <w:szCs w:val="22"/>
          <w:lang w:val="en-GB"/>
        </w:rPr>
      </w:pPr>
    </w:p>
    <w:p w14:paraId="49640B8D" w14:textId="77777777" w:rsidR="00E014AC" w:rsidRDefault="00E014AC" w:rsidP="003C150D">
      <w:pPr>
        <w:jc w:val="both"/>
        <w:rPr>
          <w:rFonts w:ascii="Arial" w:hAnsi="Arial" w:cs="Arial"/>
          <w:sz w:val="22"/>
          <w:szCs w:val="22"/>
          <w:lang w:val="en-GB"/>
        </w:rPr>
      </w:pPr>
    </w:p>
    <w:p w14:paraId="74A20297" w14:textId="30F307EB" w:rsidR="00ED7F83" w:rsidRPr="009A14FB" w:rsidRDefault="009A14FB" w:rsidP="009A14FB">
      <w:pPr>
        <w:jc w:val="both"/>
        <w:rPr>
          <w:rFonts w:ascii="Arial" w:hAnsi="Arial" w:cs="Arial"/>
          <w:b/>
          <w:bCs/>
          <w:sz w:val="22"/>
          <w:szCs w:val="22"/>
          <w:lang w:val="en-GB"/>
        </w:rPr>
      </w:pPr>
      <w:bookmarkStart w:id="7" w:name="_Hlk206963751"/>
      <w:r>
        <w:rPr>
          <w:rFonts w:ascii="Arial" w:hAnsi="Arial" w:cs="Arial"/>
          <w:b/>
          <w:bCs/>
          <w:sz w:val="22"/>
          <w:szCs w:val="22"/>
          <w:lang w:val="en-GB"/>
        </w:rPr>
        <w:t xml:space="preserve">7. </w:t>
      </w:r>
      <w:r w:rsidR="00F43D3A" w:rsidRPr="009A14FB">
        <w:rPr>
          <w:rFonts w:ascii="Arial" w:hAnsi="Arial" w:cs="Arial"/>
          <w:b/>
          <w:bCs/>
          <w:sz w:val="22"/>
          <w:szCs w:val="22"/>
          <w:lang w:val="en-GB"/>
        </w:rPr>
        <w:t xml:space="preserve">Complaint Improvement </w:t>
      </w:r>
      <w:r w:rsidR="00C448B5" w:rsidRPr="009A14FB">
        <w:rPr>
          <w:rFonts w:ascii="Arial" w:hAnsi="Arial" w:cs="Arial"/>
          <w:b/>
          <w:bCs/>
          <w:sz w:val="22"/>
          <w:szCs w:val="22"/>
          <w:lang w:val="en-GB"/>
        </w:rPr>
        <w:t>Programme</w:t>
      </w:r>
    </w:p>
    <w:p w14:paraId="1FDC05A9" w14:textId="77777777" w:rsidR="001F6F7E" w:rsidRDefault="001F6F7E" w:rsidP="003C150D">
      <w:pPr>
        <w:jc w:val="both"/>
        <w:rPr>
          <w:rFonts w:ascii="Arial" w:hAnsi="Arial" w:cs="Arial"/>
          <w:sz w:val="22"/>
          <w:szCs w:val="22"/>
          <w:lang w:val="en-GB"/>
        </w:rPr>
      </w:pPr>
    </w:p>
    <w:p w14:paraId="5622D6C5" w14:textId="77777777" w:rsidR="00185536" w:rsidRDefault="00185536" w:rsidP="00FC47E4">
      <w:pPr>
        <w:jc w:val="both"/>
        <w:rPr>
          <w:rFonts w:ascii="Arial" w:hAnsi="Arial" w:cs="Arial"/>
          <w:sz w:val="22"/>
          <w:szCs w:val="22"/>
          <w:lang w:val="en-GB"/>
        </w:rPr>
      </w:pPr>
    </w:p>
    <w:p w14:paraId="61594FE5" w14:textId="6ABF253D" w:rsidR="00185536" w:rsidRPr="00084839" w:rsidRDefault="00185536" w:rsidP="00185536">
      <w:pPr>
        <w:pStyle w:val="ListParagraph"/>
        <w:numPr>
          <w:ilvl w:val="0"/>
          <w:numId w:val="25"/>
        </w:numPr>
        <w:jc w:val="both"/>
        <w:rPr>
          <w:rFonts w:ascii="Arial" w:hAnsi="Arial" w:cs="Arial"/>
          <w:sz w:val="22"/>
          <w:szCs w:val="22"/>
          <w:lang w:val="en-GB"/>
        </w:rPr>
      </w:pPr>
      <w:r w:rsidRPr="00084839">
        <w:rPr>
          <w:rFonts w:ascii="Arial" w:hAnsi="Arial" w:cs="Arial"/>
          <w:sz w:val="22"/>
          <w:szCs w:val="22"/>
          <w:lang w:val="en-GB"/>
        </w:rPr>
        <w:t xml:space="preserve">In recognition of the increasing number of complaints not meeting response timeframes a number of improvements were introduced in Q4 of 2023/2024.  These are described in the 2023-2024 annual report.  In summary, these included improving Divisional Leadership </w:t>
      </w:r>
      <w:proofErr w:type="gramStart"/>
      <w:r w:rsidRPr="00084839">
        <w:rPr>
          <w:rFonts w:ascii="Arial" w:hAnsi="Arial" w:cs="Arial"/>
          <w:sz w:val="22"/>
          <w:szCs w:val="22"/>
          <w:lang w:val="en-GB"/>
        </w:rPr>
        <w:t>teams</w:t>
      </w:r>
      <w:proofErr w:type="gramEnd"/>
      <w:r w:rsidRPr="00084839">
        <w:rPr>
          <w:rFonts w:ascii="Arial" w:hAnsi="Arial" w:cs="Arial"/>
          <w:sz w:val="22"/>
          <w:szCs w:val="22"/>
          <w:lang w:val="en-GB"/>
        </w:rPr>
        <w:t xml:space="preserve"> involvement, oversight and accountability for complaints.  Save for specific cohorts of complaint requiring Medical Director, Chief Nurse or Chief Executive oversight, review/approval and signature of complaints was delegated to Divisional Leadership teams. Monthly reports to the Divisional Directors of Quality and Nursing and Chief’s of Service highlighting delays were provided. An enhanced escalation process for clearing with the Divisional Chief Nurses and thereafter the Medical Director, Director of Quality/Chief Nurse and CEO were introduced. The Head of Complaints provided enhanced support to the Complaint Department, meeting weekly with them to mutually agree priorities and provide support, advice and guidance in response to reporting feelings of being overwhelmed.</w:t>
      </w:r>
    </w:p>
    <w:p w14:paraId="3A5AF9D4" w14:textId="77777777" w:rsidR="00185536" w:rsidRDefault="00185536" w:rsidP="00185536">
      <w:pPr>
        <w:jc w:val="both"/>
        <w:rPr>
          <w:rFonts w:ascii="Arial" w:hAnsi="Arial" w:cs="Arial"/>
          <w:sz w:val="22"/>
          <w:szCs w:val="22"/>
          <w:lang w:val="en-GB"/>
        </w:rPr>
      </w:pPr>
    </w:p>
    <w:p w14:paraId="4F2F1A99" w14:textId="42048900" w:rsidR="00185536" w:rsidRDefault="00185536" w:rsidP="00185536">
      <w:pPr>
        <w:pStyle w:val="ListParagraph"/>
        <w:numPr>
          <w:ilvl w:val="0"/>
          <w:numId w:val="25"/>
        </w:numPr>
        <w:jc w:val="both"/>
        <w:rPr>
          <w:rFonts w:ascii="Arial" w:hAnsi="Arial" w:cs="Arial"/>
          <w:sz w:val="22"/>
          <w:szCs w:val="22"/>
          <w:lang w:val="en-GB"/>
        </w:rPr>
      </w:pPr>
      <w:r w:rsidRPr="00FF4823">
        <w:rPr>
          <w:rFonts w:ascii="Arial" w:hAnsi="Arial" w:cs="Arial"/>
          <w:sz w:val="22"/>
          <w:szCs w:val="22"/>
          <w:lang w:val="en-GB"/>
        </w:rPr>
        <w:t>In Q1 of 2024/2025, an in-depth review of the Trust’s approach to and process for responding to complaints commenced.   PHSO Complaint Handling Standards and CQC standards were reviewed and compared to the Trust’s existing Complaint Handling Policy/procedure. Processes, procedures and approaches of Trusts of a comparable size were also and reviewed. This review identified a need to revise the Trust’s Complaint Handling Policy and</w:t>
      </w:r>
      <w:r>
        <w:rPr>
          <w:rFonts w:ascii="Arial" w:hAnsi="Arial" w:cs="Arial"/>
          <w:sz w:val="22"/>
          <w:szCs w:val="22"/>
          <w:lang w:val="en-GB"/>
        </w:rPr>
        <w:t xml:space="preserve"> Process, improving how we respond to complaints, the quality of response, the timeframe within which we respond and how we use feedback provided to improve service provision.</w:t>
      </w:r>
    </w:p>
    <w:p w14:paraId="78E44435" w14:textId="77777777" w:rsidR="00185536" w:rsidRPr="00185536" w:rsidRDefault="00185536" w:rsidP="00185536">
      <w:pPr>
        <w:jc w:val="both"/>
        <w:rPr>
          <w:rFonts w:ascii="Arial" w:hAnsi="Arial" w:cs="Arial"/>
          <w:sz w:val="22"/>
          <w:szCs w:val="22"/>
          <w:lang w:val="en-GB"/>
        </w:rPr>
      </w:pPr>
    </w:p>
    <w:p w14:paraId="5D1C3E97" w14:textId="6EBA505A" w:rsidR="00185536" w:rsidRDefault="00185536" w:rsidP="00185536">
      <w:pPr>
        <w:pStyle w:val="ListParagraph"/>
        <w:numPr>
          <w:ilvl w:val="0"/>
          <w:numId w:val="25"/>
        </w:numPr>
        <w:jc w:val="both"/>
        <w:rPr>
          <w:rFonts w:ascii="Arial" w:hAnsi="Arial" w:cs="Arial"/>
          <w:sz w:val="22"/>
          <w:szCs w:val="22"/>
          <w:lang w:val="en-GB"/>
        </w:rPr>
      </w:pPr>
      <w:r w:rsidRPr="00084839">
        <w:rPr>
          <w:rFonts w:ascii="Arial" w:hAnsi="Arial" w:cs="Arial"/>
          <w:sz w:val="22"/>
          <w:szCs w:val="22"/>
          <w:lang w:val="en-GB"/>
        </w:rPr>
        <w:t xml:space="preserve">A new Complaint Handling Framework was designed in </w:t>
      </w:r>
      <w:r>
        <w:rPr>
          <w:rFonts w:ascii="Arial" w:hAnsi="Arial" w:cs="Arial"/>
          <w:sz w:val="22"/>
          <w:szCs w:val="22"/>
          <w:lang w:val="en-GB"/>
        </w:rPr>
        <w:t xml:space="preserve">September </w:t>
      </w:r>
      <w:r w:rsidRPr="00084839">
        <w:rPr>
          <w:rFonts w:ascii="Arial" w:hAnsi="Arial" w:cs="Arial"/>
          <w:sz w:val="22"/>
          <w:szCs w:val="22"/>
          <w:lang w:val="en-GB"/>
        </w:rPr>
        <w:t>202</w:t>
      </w:r>
      <w:r>
        <w:rPr>
          <w:rFonts w:ascii="Arial" w:hAnsi="Arial" w:cs="Arial"/>
          <w:sz w:val="22"/>
          <w:szCs w:val="22"/>
          <w:lang w:val="en-GB"/>
        </w:rPr>
        <w:t>4</w:t>
      </w:r>
      <w:r w:rsidRPr="00084839">
        <w:rPr>
          <w:rFonts w:ascii="Arial" w:hAnsi="Arial" w:cs="Arial"/>
          <w:sz w:val="22"/>
          <w:szCs w:val="22"/>
          <w:lang w:val="en-GB"/>
        </w:rPr>
        <w:t xml:space="preserve">.  This new framework, introduced three categories of complaint: </w:t>
      </w:r>
      <w:r w:rsidR="009E356A" w:rsidRPr="009E356A">
        <w:rPr>
          <w:rFonts w:ascii="Arial" w:hAnsi="Arial" w:cs="Arial"/>
          <w:sz w:val="22"/>
          <w:szCs w:val="22"/>
          <w:lang w:val="en-GB"/>
        </w:rPr>
        <w:t>Early Resolution (20 days), Standard (35 days), and Complex (65 days), each with specific response processes</w:t>
      </w:r>
    </w:p>
    <w:p w14:paraId="41A3567B" w14:textId="0B115909" w:rsidR="00185536" w:rsidRPr="009E356A" w:rsidRDefault="00185536" w:rsidP="009E356A">
      <w:pPr>
        <w:jc w:val="both"/>
        <w:rPr>
          <w:rFonts w:ascii="Arial" w:hAnsi="Arial" w:cs="Arial"/>
          <w:sz w:val="22"/>
          <w:szCs w:val="22"/>
          <w:lang w:val="en-GB"/>
        </w:rPr>
      </w:pPr>
    </w:p>
    <w:p w14:paraId="32397836" w14:textId="77777777" w:rsidR="00185536" w:rsidRDefault="00185536" w:rsidP="00185536">
      <w:pPr>
        <w:pStyle w:val="ListParagraph"/>
        <w:numPr>
          <w:ilvl w:val="0"/>
          <w:numId w:val="28"/>
        </w:numPr>
        <w:spacing w:after="200"/>
        <w:jc w:val="both"/>
        <w:rPr>
          <w:rFonts w:ascii="Arial" w:hAnsi="Arial" w:cs="Arial"/>
          <w:sz w:val="22"/>
          <w:szCs w:val="22"/>
          <w:lang w:val="en-GB"/>
        </w:rPr>
      </w:pPr>
      <w:r w:rsidRPr="00155FFA">
        <w:rPr>
          <w:rFonts w:ascii="Arial" w:hAnsi="Arial" w:cs="Arial"/>
          <w:sz w:val="22"/>
          <w:szCs w:val="22"/>
          <w:lang w:val="en-GB"/>
        </w:rPr>
        <w:lastRenderedPageBreak/>
        <w:t xml:space="preserve">Consultation, with the Complaint Department and Divisional Leadership teams, took place throughout October and November 2024. The outcome of consultation was collective agreement that it was not reasonably practicable to implement the new Complaint Handling Framework, without clearing the backlog of outstanding complaints in Medicine, Surgery and Maternity. Consultation also identified the need for a Quality Improvement approach to implementing and successfully embedding the new framework.  </w:t>
      </w:r>
      <w:r>
        <w:rPr>
          <w:rFonts w:ascii="Arial" w:hAnsi="Arial" w:cs="Arial"/>
          <w:sz w:val="22"/>
          <w:szCs w:val="22"/>
          <w:lang w:val="en-GB"/>
        </w:rPr>
        <w:t>The Complaint Department were re-structured to enable a Complaint Manager and Administrator to be aligned to each Division. This change took effect in November 2024.</w:t>
      </w:r>
    </w:p>
    <w:p w14:paraId="61C58D0D" w14:textId="77777777" w:rsidR="00185536" w:rsidRDefault="00185536" w:rsidP="00185536">
      <w:pPr>
        <w:pStyle w:val="ListParagraph"/>
        <w:spacing w:after="200"/>
        <w:jc w:val="both"/>
        <w:rPr>
          <w:rFonts w:ascii="Arial" w:hAnsi="Arial" w:cs="Arial"/>
          <w:sz w:val="22"/>
          <w:szCs w:val="22"/>
          <w:lang w:val="en-GB"/>
        </w:rPr>
      </w:pPr>
    </w:p>
    <w:p w14:paraId="302BAFF9" w14:textId="1699B5C3" w:rsidR="009E356A" w:rsidRDefault="00185536" w:rsidP="009E356A">
      <w:pPr>
        <w:pStyle w:val="ListParagraph"/>
        <w:numPr>
          <w:ilvl w:val="0"/>
          <w:numId w:val="28"/>
        </w:numPr>
        <w:spacing w:after="200"/>
        <w:jc w:val="both"/>
        <w:rPr>
          <w:rFonts w:ascii="Arial" w:hAnsi="Arial" w:cs="Arial"/>
          <w:sz w:val="22"/>
          <w:szCs w:val="22"/>
          <w:lang w:val="en-GB"/>
        </w:rPr>
      </w:pPr>
      <w:r w:rsidRPr="009E356A">
        <w:rPr>
          <w:rFonts w:ascii="Arial" w:hAnsi="Arial" w:cs="Arial"/>
          <w:sz w:val="22"/>
          <w:szCs w:val="22"/>
          <w:lang w:val="en-GB"/>
        </w:rPr>
        <w:t xml:space="preserve">A Complaint Improvement Group was initiated in December 2024.  This group included representatives from the Quality Improvement Academy, the Complaints Department and senior leadership teams from the Diagnostics and Specialties Division, Gynaecology and Paediatric Specialties.  This group worked collaboratively to design process maps that aligned to the new Framework, endeavouring to ensure that there was effective use of the resource available across the Complaint Department and Divisions and determine roles and responsibilities.  The objective of the approach was to ensure that the proposed changes within the new Framework would improve the way in which the Trust responded to complaints, the quality of the response provided, the timeframes within which the Trust responded and how the Trust learned from complaints. </w:t>
      </w:r>
    </w:p>
    <w:p w14:paraId="1344A148" w14:textId="77777777" w:rsidR="009E356A" w:rsidRPr="009E356A" w:rsidRDefault="009E356A" w:rsidP="009E356A">
      <w:pPr>
        <w:pStyle w:val="ListParagraph"/>
        <w:rPr>
          <w:rFonts w:ascii="Arial" w:hAnsi="Arial" w:cs="Arial"/>
          <w:sz w:val="22"/>
          <w:szCs w:val="22"/>
          <w:lang w:val="en-GB"/>
        </w:rPr>
      </w:pPr>
    </w:p>
    <w:p w14:paraId="2F39DB21" w14:textId="3CDECF7A" w:rsidR="009E356A" w:rsidRDefault="00185536" w:rsidP="00FC47E4">
      <w:pPr>
        <w:pStyle w:val="ListParagraph"/>
        <w:numPr>
          <w:ilvl w:val="0"/>
          <w:numId w:val="28"/>
        </w:numPr>
        <w:spacing w:after="200"/>
        <w:jc w:val="both"/>
        <w:rPr>
          <w:rFonts w:ascii="Arial" w:hAnsi="Arial" w:cs="Arial"/>
          <w:sz w:val="22"/>
          <w:szCs w:val="22"/>
          <w:lang w:val="en-GB"/>
        </w:rPr>
      </w:pPr>
      <w:r w:rsidRPr="009E356A">
        <w:rPr>
          <w:rFonts w:ascii="Arial" w:hAnsi="Arial" w:cs="Arial"/>
          <w:sz w:val="22"/>
          <w:szCs w:val="22"/>
          <w:lang w:val="en-GB"/>
        </w:rPr>
        <w:t xml:space="preserve">Alongside the work of the Improvement Group, weekly/fortnightly touchpoint meetings between Divisional Leadership teams, the Head of Complaints and their Divisional Complaint Manager/Administrators were introduced.  The focus in these meetings (for Medicine, Surgery and Maternity) was on clearing the backlog of complaints.  </w:t>
      </w:r>
    </w:p>
    <w:p w14:paraId="59984C24" w14:textId="77777777" w:rsidR="009E356A" w:rsidRPr="009E356A" w:rsidRDefault="009E356A" w:rsidP="009E356A">
      <w:pPr>
        <w:pStyle w:val="ListParagraph"/>
        <w:rPr>
          <w:rFonts w:ascii="Arial" w:hAnsi="Arial" w:cs="Arial"/>
          <w:sz w:val="22"/>
          <w:szCs w:val="22"/>
          <w:lang w:val="en-GB"/>
        </w:rPr>
      </w:pPr>
    </w:p>
    <w:p w14:paraId="7059AE4A" w14:textId="77777777" w:rsidR="009E356A" w:rsidRDefault="00FC47E4" w:rsidP="00FC47E4">
      <w:pPr>
        <w:pStyle w:val="ListParagraph"/>
        <w:numPr>
          <w:ilvl w:val="0"/>
          <w:numId w:val="28"/>
        </w:numPr>
        <w:spacing w:after="200"/>
        <w:jc w:val="both"/>
        <w:rPr>
          <w:rFonts w:ascii="Arial" w:hAnsi="Arial" w:cs="Arial"/>
          <w:sz w:val="22"/>
          <w:szCs w:val="22"/>
          <w:lang w:val="en-GB"/>
        </w:rPr>
      </w:pPr>
      <w:r w:rsidRPr="009E356A">
        <w:rPr>
          <w:rFonts w:ascii="Arial" w:hAnsi="Arial" w:cs="Arial"/>
          <w:sz w:val="22"/>
          <w:szCs w:val="22"/>
          <w:lang w:val="en-GB"/>
        </w:rPr>
        <w:t>Recogni</w:t>
      </w:r>
      <w:r w:rsidR="002B19AB" w:rsidRPr="009E356A">
        <w:rPr>
          <w:rFonts w:ascii="Arial" w:hAnsi="Arial" w:cs="Arial"/>
          <w:sz w:val="22"/>
          <w:szCs w:val="22"/>
          <w:lang w:val="en-GB"/>
        </w:rPr>
        <w:t>s</w:t>
      </w:r>
      <w:r w:rsidRPr="009E356A">
        <w:rPr>
          <w:rFonts w:ascii="Arial" w:hAnsi="Arial" w:cs="Arial"/>
          <w:sz w:val="22"/>
          <w:szCs w:val="22"/>
          <w:lang w:val="en-GB"/>
        </w:rPr>
        <w:t xml:space="preserve">ing a training gap, the Trust plans </w:t>
      </w:r>
      <w:r w:rsidR="002B19AB" w:rsidRPr="009E356A">
        <w:rPr>
          <w:rFonts w:ascii="Arial" w:hAnsi="Arial" w:cs="Arial"/>
          <w:sz w:val="22"/>
          <w:szCs w:val="22"/>
          <w:lang w:val="en-GB"/>
        </w:rPr>
        <w:t>mandatory (for key staff involved in complaints)</w:t>
      </w:r>
      <w:r w:rsidRPr="009E356A">
        <w:rPr>
          <w:rFonts w:ascii="Arial" w:hAnsi="Arial" w:cs="Arial"/>
          <w:sz w:val="22"/>
          <w:szCs w:val="22"/>
          <w:lang w:val="en-GB"/>
        </w:rPr>
        <w:t xml:space="preserve"> complaint handling training based on PHSO online courses</w:t>
      </w:r>
      <w:r w:rsidR="002B19AB" w:rsidRPr="009E356A">
        <w:rPr>
          <w:rFonts w:ascii="Arial" w:hAnsi="Arial" w:cs="Arial"/>
          <w:sz w:val="22"/>
          <w:szCs w:val="22"/>
          <w:lang w:val="en-GB"/>
        </w:rPr>
        <w:t xml:space="preserve">. A </w:t>
      </w:r>
      <w:r w:rsidRPr="009E356A">
        <w:rPr>
          <w:rFonts w:ascii="Arial" w:hAnsi="Arial" w:cs="Arial"/>
          <w:sz w:val="22"/>
          <w:szCs w:val="22"/>
          <w:lang w:val="en-GB"/>
        </w:rPr>
        <w:t xml:space="preserve">condensed session </w:t>
      </w:r>
      <w:r w:rsidR="002B19AB" w:rsidRPr="009E356A">
        <w:rPr>
          <w:rFonts w:ascii="Arial" w:hAnsi="Arial" w:cs="Arial"/>
          <w:sz w:val="22"/>
          <w:szCs w:val="22"/>
          <w:lang w:val="en-GB"/>
        </w:rPr>
        <w:t xml:space="preserve">is being provided in </w:t>
      </w:r>
      <w:r w:rsidRPr="009E356A">
        <w:rPr>
          <w:rFonts w:ascii="Arial" w:hAnsi="Arial" w:cs="Arial"/>
          <w:sz w:val="22"/>
          <w:szCs w:val="22"/>
          <w:lang w:val="en-GB"/>
        </w:rPr>
        <w:t xml:space="preserve">September 2025 </w:t>
      </w:r>
      <w:r w:rsidR="002B19AB" w:rsidRPr="009E356A">
        <w:rPr>
          <w:rFonts w:ascii="Arial" w:hAnsi="Arial" w:cs="Arial"/>
          <w:sz w:val="22"/>
          <w:szCs w:val="22"/>
          <w:lang w:val="en-GB"/>
        </w:rPr>
        <w:t xml:space="preserve">at a </w:t>
      </w:r>
      <w:r w:rsidRPr="009E356A">
        <w:rPr>
          <w:rFonts w:ascii="Arial" w:hAnsi="Arial" w:cs="Arial"/>
          <w:sz w:val="22"/>
          <w:szCs w:val="22"/>
          <w:lang w:val="en-GB"/>
        </w:rPr>
        <w:t>Complaint Away Day</w:t>
      </w:r>
      <w:r w:rsidR="002B19AB" w:rsidRPr="009E356A">
        <w:rPr>
          <w:rFonts w:ascii="Arial" w:hAnsi="Arial" w:cs="Arial"/>
          <w:sz w:val="22"/>
          <w:szCs w:val="22"/>
          <w:lang w:val="en-GB"/>
        </w:rPr>
        <w:t>.</w:t>
      </w:r>
    </w:p>
    <w:p w14:paraId="3B803D33" w14:textId="77777777" w:rsidR="009E356A" w:rsidRPr="009E356A" w:rsidRDefault="009E356A" w:rsidP="009E356A">
      <w:pPr>
        <w:pStyle w:val="ListParagraph"/>
        <w:rPr>
          <w:rFonts w:ascii="Arial" w:hAnsi="Arial" w:cs="Arial"/>
          <w:sz w:val="22"/>
          <w:szCs w:val="22"/>
          <w:lang w:val="en-GB"/>
        </w:rPr>
      </w:pPr>
    </w:p>
    <w:p w14:paraId="1AC81BDB" w14:textId="260386DE" w:rsidR="00FC47E4" w:rsidRDefault="00FC47E4" w:rsidP="00FC47E4">
      <w:pPr>
        <w:pStyle w:val="ListParagraph"/>
        <w:numPr>
          <w:ilvl w:val="0"/>
          <w:numId w:val="28"/>
        </w:numPr>
        <w:spacing w:after="200"/>
        <w:jc w:val="both"/>
        <w:rPr>
          <w:rFonts w:ascii="Arial" w:hAnsi="Arial" w:cs="Arial"/>
          <w:sz w:val="22"/>
          <w:szCs w:val="22"/>
          <w:lang w:val="en-GB"/>
        </w:rPr>
      </w:pPr>
      <w:r w:rsidRPr="009E356A">
        <w:rPr>
          <w:rFonts w:ascii="Arial" w:hAnsi="Arial" w:cs="Arial"/>
          <w:sz w:val="22"/>
          <w:szCs w:val="22"/>
          <w:lang w:val="en-GB"/>
        </w:rPr>
        <w:t>Co-pilot licenses and a</w:t>
      </w:r>
      <w:r w:rsidR="002B19AB" w:rsidRPr="009E356A">
        <w:rPr>
          <w:rFonts w:ascii="Arial" w:hAnsi="Arial" w:cs="Arial"/>
          <w:sz w:val="22"/>
          <w:szCs w:val="22"/>
          <w:lang w:val="en-GB"/>
        </w:rPr>
        <w:t>n AI,</w:t>
      </w:r>
      <w:r w:rsidRPr="009E356A">
        <w:rPr>
          <w:rFonts w:ascii="Arial" w:hAnsi="Arial" w:cs="Arial"/>
          <w:sz w:val="22"/>
          <w:szCs w:val="22"/>
          <w:lang w:val="en-GB"/>
        </w:rPr>
        <w:t xml:space="preserve"> Complaint Handling Agent have been introduced to assist with categori</w:t>
      </w:r>
      <w:r w:rsidR="002B19AB" w:rsidRPr="009E356A">
        <w:rPr>
          <w:rFonts w:ascii="Arial" w:hAnsi="Arial" w:cs="Arial"/>
          <w:sz w:val="22"/>
          <w:szCs w:val="22"/>
          <w:lang w:val="en-GB"/>
        </w:rPr>
        <w:t>s</w:t>
      </w:r>
      <w:r w:rsidRPr="009E356A">
        <w:rPr>
          <w:rFonts w:ascii="Arial" w:hAnsi="Arial" w:cs="Arial"/>
          <w:sz w:val="22"/>
          <w:szCs w:val="22"/>
          <w:lang w:val="en-GB"/>
        </w:rPr>
        <w:t>ation, issue identification, and pre-populating response templates</w:t>
      </w:r>
      <w:r w:rsidR="002B19AB" w:rsidRPr="009E356A">
        <w:rPr>
          <w:rFonts w:ascii="Arial" w:hAnsi="Arial" w:cs="Arial"/>
          <w:sz w:val="22"/>
          <w:szCs w:val="22"/>
          <w:lang w:val="en-GB"/>
        </w:rPr>
        <w:t xml:space="preserve">. This agent is </w:t>
      </w:r>
      <w:r w:rsidRPr="009E356A">
        <w:rPr>
          <w:rFonts w:ascii="Arial" w:hAnsi="Arial" w:cs="Arial"/>
          <w:sz w:val="22"/>
          <w:szCs w:val="22"/>
          <w:lang w:val="en-GB"/>
        </w:rPr>
        <w:t xml:space="preserve">currently under trial with plans to expand access for </w:t>
      </w:r>
      <w:r w:rsidR="002B19AB" w:rsidRPr="009E356A">
        <w:rPr>
          <w:rFonts w:ascii="Arial" w:hAnsi="Arial" w:cs="Arial"/>
          <w:sz w:val="22"/>
          <w:szCs w:val="22"/>
          <w:lang w:val="en-GB"/>
        </w:rPr>
        <w:t xml:space="preserve">staff involved with responding to complaints, subject to roll out of Microsoft 365 and co-pilot licenses, for all. </w:t>
      </w:r>
    </w:p>
    <w:p w14:paraId="3C0359F8" w14:textId="77777777" w:rsidR="009E356A" w:rsidRPr="009E356A" w:rsidRDefault="009E356A" w:rsidP="009E356A">
      <w:pPr>
        <w:pStyle w:val="ListParagraph"/>
        <w:rPr>
          <w:rFonts w:ascii="Arial" w:hAnsi="Arial" w:cs="Arial"/>
          <w:sz w:val="22"/>
          <w:szCs w:val="22"/>
          <w:lang w:val="en-GB"/>
        </w:rPr>
      </w:pPr>
    </w:p>
    <w:p w14:paraId="4189B02F" w14:textId="080DA852" w:rsidR="00FC47E4" w:rsidRPr="00E36F1E" w:rsidRDefault="009E356A" w:rsidP="009E356A">
      <w:pPr>
        <w:pStyle w:val="ListParagraph"/>
        <w:numPr>
          <w:ilvl w:val="0"/>
          <w:numId w:val="28"/>
        </w:numPr>
        <w:rPr>
          <w:rFonts w:ascii="Arial" w:hAnsi="Arial" w:cs="Arial"/>
          <w:sz w:val="22"/>
          <w:szCs w:val="22"/>
          <w:lang w:val="en-GB"/>
        </w:rPr>
      </w:pPr>
      <w:r w:rsidRPr="00E36F1E">
        <w:rPr>
          <w:rFonts w:ascii="Arial" w:hAnsi="Arial" w:cs="Arial"/>
          <w:sz w:val="22"/>
          <w:szCs w:val="22"/>
          <w:lang w:val="en-GB"/>
        </w:rPr>
        <w:t xml:space="preserve">At the time of writing this report, there are less than 10 complaints, more than six months overdue and </w:t>
      </w:r>
      <w:r w:rsidR="00E36F1E" w:rsidRPr="00E36F1E">
        <w:rPr>
          <w:rFonts w:ascii="Arial" w:hAnsi="Arial" w:cs="Arial"/>
          <w:sz w:val="22"/>
          <w:szCs w:val="22"/>
          <w:lang w:val="en-GB"/>
        </w:rPr>
        <w:t>45</w:t>
      </w:r>
      <w:r w:rsidRPr="00E36F1E">
        <w:rPr>
          <w:rFonts w:ascii="Arial" w:hAnsi="Arial" w:cs="Arial"/>
          <w:sz w:val="22"/>
          <w:szCs w:val="22"/>
          <w:lang w:val="en-GB"/>
        </w:rPr>
        <w:t>% of responses are being sent within required timescales</w:t>
      </w:r>
      <w:r w:rsidR="00E36F1E" w:rsidRPr="00E36F1E">
        <w:rPr>
          <w:rFonts w:ascii="Arial" w:hAnsi="Arial" w:cs="Arial"/>
          <w:sz w:val="22"/>
          <w:szCs w:val="22"/>
          <w:lang w:val="en-GB"/>
        </w:rPr>
        <w:t>.</w:t>
      </w:r>
    </w:p>
    <w:bookmarkEnd w:id="7"/>
    <w:p w14:paraId="1E823903" w14:textId="77777777" w:rsidR="00854E98" w:rsidRDefault="00854E98" w:rsidP="00881E4C">
      <w:pPr>
        <w:rPr>
          <w:rFonts w:ascii="Arial" w:hAnsi="Arial" w:cs="Arial"/>
          <w:b/>
          <w:sz w:val="22"/>
          <w:szCs w:val="22"/>
          <w:lang w:val="en-GB"/>
        </w:rPr>
      </w:pPr>
    </w:p>
    <w:p w14:paraId="511B6E71" w14:textId="56EB5E01" w:rsidR="00771CBC" w:rsidRPr="00CF082F" w:rsidRDefault="009A14FB" w:rsidP="00881E4C">
      <w:pPr>
        <w:rPr>
          <w:rFonts w:ascii="Arial" w:hAnsi="Arial" w:cs="Arial"/>
          <w:b/>
          <w:sz w:val="22"/>
          <w:szCs w:val="22"/>
          <w:lang w:val="en-GB"/>
        </w:rPr>
      </w:pPr>
      <w:r>
        <w:rPr>
          <w:rFonts w:ascii="Arial" w:hAnsi="Arial" w:cs="Arial"/>
          <w:b/>
          <w:sz w:val="22"/>
          <w:szCs w:val="22"/>
          <w:lang w:val="en-GB"/>
        </w:rPr>
        <w:t>8</w:t>
      </w:r>
      <w:r w:rsidR="00881E4C" w:rsidRPr="00CF082F">
        <w:rPr>
          <w:rFonts w:ascii="Arial" w:hAnsi="Arial" w:cs="Arial"/>
          <w:b/>
          <w:sz w:val="22"/>
          <w:szCs w:val="22"/>
          <w:lang w:val="en-GB"/>
        </w:rPr>
        <w:t xml:space="preserve">. </w:t>
      </w:r>
      <w:r w:rsidR="00646B12" w:rsidRPr="00CF082F">
        <w:rPr>
          <w:rFonts w:ascii="Arial" w:hAnsi="Arial" w:cs="Arial"/>
          <w:b/>
          <w:sz w:val="22"/>
          <w:szCs w:val="22"/>
          <w:lang w:val="en-GB"/>
        </w:rPr>
        <w:t xml:space="preserve">Complainant </w:t>
      </w:r>
      <w:r w:rsidR="005F7A6C" w:rsidRPr="00CF082F">
        <w:rPr>
          <w:rFonts w:ascii="Arial" w:hAnsi="Arial" w:cs="Arial"/>
          <w:b/>
          <w:sz w:val="22"/>
          <w:szCs w:val="22"/>
          <w:lang w:val="en-GB"/>
        </w:rPr>
        <w:t>S</w:t>
      </w:r>
      <w:r w:rsidR="00646B12" w:rsidRPr="00CF082F">
        <w:rPr>
          <w:rFonts w:ascii="Arial" w:hAnsi="Arial" w:cs="Arial"/>
          <w:b/>
          <w:sz w:val="22"/>
          <w:szCs w:val="22"/>
          <w:lang w:val="en-GB"/>
        </w:rPr>
        <w:t xml:space="preserve">atisfaction with </w:t>
      </w:r>
      <w:r w:rsidR="005F7A6C" w:rsidRPr="00CF082F">
        <w:rPr>
          <w:rFonts w:ascii="Arial" w:hAnsi="Arial" w:cs="Arial"/>
          <w:b/>
          <w:sz w:val="22"/>
          <w:szCs w:val="22"/>
          <w:lang w:val="en-GB"/>
        </w:rPr>
        <w:t>C</w:t>
      </w:r>
      <w:r w:rsidR="00646B12" w:rsidRPr="00CF082F">
        <w:rPr>
          <w:rFonts w:ascii="Arial" w:hAnsi="Arial" w:cs="Arial"/>
          <w:b/>
          <w:sz w:val="22"/>
          <w:szCs w:val="22"/>
          <w:lang w:val="en-GB"/>
        </w:rPr>
        <w:t xml:space="preserve">omplaint </w:t>
      </w:r>
      <w:r w:rsidR="005F7A6C" w:rsidRPr="00CF082F">
        <w:rPr>
          <w:rFonts w:ascii="Arial" w:hAnsi="Arial" w:cs="Arial"/>
          <w:b/>
          <w:sz w:val="22"/>
          <w:szCs w:val="22"/>
          <w:lang w:val="en-GB"/>
        </w:rPr>
        <w:t>R</w:t>
      </w:r>
      <w:r w:rsidR="00646B12" w:rsidRPr="00CF082F">
        <w:rPr>
          <w:rFonts w:ascii="Arial" w:hAnsi="Arial" w:cs="Arial"/>
          <w:b/>
          <w:sz w:val="22"/>
          <w:szCs w:val="22"/>
          <w:lang w:val="en-GB"/>
        </w:rPr>
        <w:t xml:space="preserve">esponse </w:t>
      </w:r>
    </w:p>
    <w:p w14:paraId="2468C603" w14:textId="77777777" w:rsidR="00096C72" w:rsidRPr="00CF082F" w:rsidRDefault="00096C72" w:rsidP="00096C72">
      <w:pPr>
        <w:pStyle w:val="ListParagraph"/>
        <w:rPr>
          <w:rFonts w:ascii="Arial" w:hAnsi="Arial" w:cs="Arial"/>
          <w:b/>
          <w:sz w:val="22"/>
          <w:szCs w:val="22"/>
          <w:lang w:val="en-GB"/>
        </w:rPr>
      </w:pPr>
    </w:p>
    <w:p w14:paraId="5D53A2BE" w14:textId="77777777" w:rsidR="009D65C3" w:rsidRPr="00CF082F" w:rsidRDefault="009D65C3" w:rsidP="001F4F5D">
      <w:pPr>
        <w:rPr>
          <w:rFonts w:ascii="Arial" w:hAnsi="Arial" w:cs="Arial"/>
          <w:sz w:val="22"/>
          <w:szCs w:val="22"/>
          <w:lang w:val="en-GB"/>
        </w:rPr>
      </w:pPr>
      <w:r w:rsidRPr="00CF082F">
        <w:rPr>
          <w:rFonts w:ascii="Arial" w:hAnsi="Arial" w:cs="Arial"/>
          <w:sz w:val="22"/>
          <w:szCs w:val="22"/>
          <w:lang w:val="en-GB"/>
        </w:rPr>
        <w:t>Our Trust currently uses three measures to assess the satisfaction of the complainant with their final response, these are:</w:t>
      </w:r>
    </w:p>
    <w:p w14:paraId="6C974C54" w14:textId="77777777" w:rsidR="009D65C3" w:rsidRPr="00CF082F" w:rsidRDefault="009D65C3" w:rsidP="001F4F5D">
      <w:pPr>
        <w:rPr>
          <w:rFonts w:ascii="Arial" w:hAnsi="Arial" w:cs="Arial"/>
          <w:sz w:val="22"/>
          <w:szCs w:val="22"/>
          <w:lang w:val="en-GB"/>
        </w:rPr>
      </w:pPr>
    </w:p>
    <w:p w14:paraId="035835A5" w14:textId="77777777" w:rsidR="009D65C3" w:rsidRPr="00023C09" w:rsidRDefault="009D65C3" w:rsidP="009D65C3">
      <w:pPr>
        <w:pStyle w:val="ListParagraph"/>
        <w:numPr>
          <w:ilvl w:val="0"/>
          <w:numId w:val="6"/>
        </w:numPr>
        <w:spacing w:after="120"/>
        <w:ind w:left="714" w:hanging="357"/>
        <w:contextualSpacing w:val="0"/>
        <w:jc w:val="both"/>
        <w:rPr>
          <w:rFonts w:ascii="Arial" w:hAnsi="Arial" w:cs="Arial"/>
          <w:sz w:val="22"/>
          <w:szCs w:val="22"/>
          <w:lang w:val="en-GB"/>
        </w:rPr>
      </w:pPr>
      <w:r w:rsidRPr="00023C09">
        <w:rPr>
          <w:rFonts w:ascii="Arial" w:hAnsi="Arial" w:cs="Arial"/>
          <w:sz w:val="22"/>
          <w:szCs w:val="22"/>
          <w:lang w:val="en-GB"/>
        </w:rPr>
        <w:t xml:space="preserve">Comebacks: where a complainant submits further questions or correspondence requiring further investigation and response. There were 111 comebacks received during the year (10% of all complaints received). This represents an increase of 1.6% on the previous year. </w:t>
      </w:r>
    </w:p>
    <w:p w14:paraId="6A0EA978" w14:textId="3E70EF7F" w:rsidR="009D65C3" w:rsidRPr="00023C09" w:rsidRDefault="009D65C3" w:rsidP="197EE71A">
      <w:pPr>
        <w:pStyle w:val="ListParagraph"/>
        <w:numPr>
          <w:ilvl w:val="0"/>
          <w:numId w:val="6"/>
        </w:numPr>
        <w:spacing w:after="120"/>
        <w:ind w:left="714" w:hanging="357"/>
        <w:jc w:val="both"/>
        <w:rPr>
          <w:rFonts w:ascii="Arial" w:hAnsi="Arial" w:cs="Arial"/>
          <w:sz w:val="22"/>
          <w:szCs w:val="22"/>
        </w:rPr>
      </w:pPr>
      <w:r w:rsidRPr="00023C09">
        <w:rPr>
          <w:rFonts w:ascii="Arial" w:hAnsi="Arial" w:cs="Arial"/>
          <w:sz w:val="22"/>
          <w:szCs w:val="22"/>
        </w:rPr>
        <w:t xml:space="preserve">Meetings: where a complainant requests to meet with staff to ask additional questions, or discuss the content of their response. There were 20 meetings held with complainants. This represents </w:t>
      </w:r>
      <w:proofErr w:type="spellStart"/>
      <w:proofErr w:type="gramStart"/>
      <w:r w:rsidRPr="00023C09">
        <w:rPr>
          <w:rFonts w:ascii="Arial" w:hAnsi="Arial" w:cs="Arial"/>
          <w:sz w:val="22"/>
          <w:szCs w:val="22"/>
        </w:rPr>
        <w:t>a</w:t>
      </w:r>
      <w:proofErr w:type="spellEnd"/>
      <w:proofErr w:type="gramEnd"/>
      <w:r w:rsidRPr="00023C09">
        <w:rPr>
          <w:rFonts w:ascii="Arial" w:hAnsi="Arial" w:cs="Arial"/>
          <w:sz w:val="22"/>
          <w:szCs w:val="22"/>
        </w:rPr>
        <w:t xml:space="preserve"> increase on the previous year</w:t>
      </w:r>
      <w:r w:rsidR="00023C09" w:rsidRPr="00023C09">
        <w:rPr>
          <w:rFonts w:ascii="Arial" w:hAnsi="Arial" w:cs="Arial"/>
          <w:sz w:val="22"/>
          <w:szCs w:val="22"/>
        </w:rPr>
        <w:t>. Whilst some of these meetings relate to complaints where a written response has not resolved the service user’s concerns raised with us, this increase also demonstrates the commitment to resolve complaints through direct contact with senior leaders.</w:t>
      </w:r>
    </w:p>
    <w:p w14:paraId="5E4E3B2F" w14:textId="35A0861A" w:rsidR="007F064C" w:rsidRPr="00023C09" w:rsidRDefault="009D65C3" w:rsidP="000769B8">
      <w:pPr>
        <w:pStyle w:val="ListParagraph"/>
        <w:numPr>
          <w:ilvl w:val="0"/>
          <w:numId w:val="6"/>
        </w:numPr>
        <w:spacing w:after="120"/>
        <w:ind w:left="714" w:hanging="357"/>
        <w:contextualSpacing w:val="0"/>
        <w:jc w:val="both"/>
        <w:rPr>
          <w:rFonts w:ascii="Arial" w:hAnsi="Arial" w:cs="Arial"/>
          <w:sz w:val="22"/>
          <w:szCs w:val="22"/>
          <w:lang w:val="en-GB"/>
        </w:rPr>
      </w:pPr>
      <w:r w:rsidRPr="00023C09">
        <w:rPr>
          <w:rFonts w:ascii="Arial" w:hAnsi="Arial" w:cs="Arial"/>
          <w:sz w:val="22"/>
          <w:szCs w:val="22"/>
          <w:lang w:val="en-GB"/>
        </w:rPr>
        <w:t>Parliamentary and Health Service Ombudsman (PHSO): where a complainant refers the matter to the PHSO for independent review. There were 9 cases referred by complainants to the PHSO during the year. This is an increase on the previous years (7 in 2023/2024 and 2 in 2022/2023).</w:t>
      </w:r>
    </w:p>
    <w:p w14:paraId="7072907D" w14:textId="77777777" w:rsidR="006C0359" w:rsidRPr="00226033" w:rsidRDefault="006C0359" w:rsidP="000769B8">
      <w:pPr>
        <w:rPr>
          <w:rFonts w:ascii="Arial" w:hAnsi="Arial" w:cs="Arial"/>
          <w:sz w:val="22"/>
          <w:szCs w:val="22"/>
          <w:highlight w:val="yellow"/>
          <w:lang w:val="en-GB"/>
        </w:rPr>
      </w:pPr>
    </w:p>
    <w:p w14:paraId="7A415DCD" w14:textId="56D8C845" w:rsidR="007F064C" w:rsidRPr="00CF082F" w:rsidRDefault="00023C09" w:rsidP="008F758B">
      <w:pPr>
        <w:spacing w:after="120"/>
        <w:rPr>
          <w:rFonts w:ascii="Arial" w:hAnsi="Arial" w:cs="Arial"/>
          <w:b/>
          <w:sz w:val="22"/>
          <w:szCs w:val="22"/>
          <w:lang w:val="en-GB"/>
        </w:rPr>
      </w:pPr>
      <w:r>
        <w:rPr>
          <w:rFonts w:ascii="Arial" w:hAnsi="Arial" w:cs="Arial"/>
          <w:b/>
          <w:sz w:val="22"/>
          <w:szCs w:val="22"/>
          <w:lang w:val="en-GB"/>
        </w:rPr>
        <w:lastRenderedPageBreak/>
        <w:t>9</w:t>
      </w:r>
      <w:r w:rsidR="008F758B" w:rsidRPr="002F5C8A">
        <w:rPr>
          <w:rFonts w:ascii="Arial" w:hAnsi="Arial" w:cs="Arial"/>
          <w:b/>
          <w:sz w:val="22"/>
          <w:szCs w:val="22"/>
          <w:lang w:val="en-GB"/>
        </w:rPr>
        <w:t>.</w:t>
      </w:r>
      <w:r w:rsidR="008F758B" w:rsidRPr="00CF082F">
        <w:rPr>
          <w:rFonts w:ascii="Arial" w:hAnsi="Arial" w:cs="Arial"/>
          <w:b/>
          <w:sz w:val="22"/>
          <w:szCs w:val="22"/>
          <w:lang w:val="en-GB"/>
        </w:rPr>
        <w:t xml:space="preserve"> </w:t>
      </w:r>
      <w:r w:rsidR="007F064C" w:rsidRPr="00CF082F">
        <w:rPr>
          <w:rFonts w:ascii="Arial" w:hAnsi="Arial" w:cs="Arial"/>
          <w:b/>
          <w:sz w:val="22"/>
          <w:szCs w:val="22"/>
          <w:lang w:val="en-GB"/>
        </w:rPr>
        <w:t>Parliamentary and Health Service Ombudsman (PHSO)</w:t>
      </w:r>
    </w:p>
    <w:p w14:paraId="38B8789C" w14:textId="77777777" w:rsidR="004975C5" w:rsidRDefault="004975C5" w:rsidP="004975C5">
      <w:pPr>
        <w:rPr>
          <w:color w:val="1F497D"/>
        </w:rPr>
      </w:pPr>
    </w:p>
    <w:p w14:paraId="2202525D" w14:textId="75E88134" w:rsidR="00373B26" w:rsidRPr="00CF082F" w:rsidRDefault="00373B26" w:rsidP="001F4F5D">
      <w:pPr>
        <w:spacing w:after="120"/>
        <w:jc w:val="both"/>
        <w:rPr>
          <w:rFonts w:ascii="Arial" w:hAnsi="Arial" w:cs="Arial"/>
          <w:sz w:val="22"/>
          <w:szCs w:val="22"/>
          <w:lang w:val="en-GB"/>
        </w:rPr>
      </w:pPr>
      <w:r w:rsidRPr="00023C09">
        <w:rPr>
          <w:rFonts w:ascii="Arial" w:hAnsi="Arial" w:cs="Arial"/>
          <w:sz w:val="22"/>
          <w:szCs w:val="22"/>
          <w:lang w:val="en-GB"/>
        </w:rPr>
        <w:t>9 cases were referred to the PHSO during 2024/2025. A decision has been received during the year on 5 cases (decisions may relate to cases referred in the previous year). 1 was upheld, 3 w</w:t>
      </w:r>
      <w:r w:rsidR="00023C09" w:rsidRPr="00023C09">
        <w:rPr>
          <w:rFonts w:ascii="Arial" w:hAnsi="Arial" w:cs="Arial"/>
          <w:sz w:val="22"/>
          <w:szCs w:val="22"/>
          <w:lang w:val="en-GB"/>
        </w:rPr>
        <w:t>ere</w:t>
      </w:r>
      <w:r w:rsidRPr="00023C09">
        <w:rPr>
          <w:rFonts w:ascii="Arial" w:hAnsi="Arial" w:cs="Arial"/>
          <w:sz w:val="22"/>
          <w:szCs w:val="22"/>
          <w:lang w:val="en-GB"/>
        </w:rPr>
        <w:t xml:space="preserve"> not upheld and 1 w</w:t>
      </w:r>
      <w:r w:rsidR="00023C09" w:rsidRPr="00023C09">
        <w:rPr>
          <w:rFonts w:ascii="Arial" w:hAnsi="Arial" w:cs="Arial"/>
          <w:sz w:val="22"/>
          <w:szCs w:val="22"/>
          <w:lang w:val="en-GB"/>
        </w:rPr>
        <w:t>as</w:t>
      </w:r>
      <w:r w:rsidRPr="00023C09">
        <w:rPr>
          <w:rFonts w:ascii="Arial" w:hAnsi="Arial" w:cs="Arial"/>
          <w:sz w:val="22"/>
          <w:szCs w:val="22"/>
          <w:lang w:val="en-GB"/>
        </w:rPr>
        <w:t xml:space="preserve"> partially upheld. The PHSO do not inform us of complaint referrals that do not meet their threshold and are, therefore, not formally investigated through the second stage resolution process.</w:t>
      </w:r>
    </w:p>
    <w:p w14:paraId="662CB3F1" w14:textId="30ECEDAE" w:rsidR="00023C09" w:rsidRPr="002B19AB" w:rsidRDefault="00373B26" w:rsidP="002B19AB">
      <w:pPr>
        <w:spacing w:after="120"/>
        <w:jc w:val="both"/>
        <w:rPr>
          <w:rFonts w:ascii="Arial" w:hAnsi="Arial" w:cs="Arial"/>
          <w:sz w:val="22"/>
          <w:szCs w:val="22"/>
          <w:lang w:val="en-GB"/>
        </w:rPr>
      </w:pPr>
      <w:r w:rsidRPr="00CF082F">
        <w:rPr>
          <w:rFonts w:ascii="Arial" w:hAnsi="Arial" w:cs="Arial"/>
          <w:sz w:val="22"/>
          <w:szCs w:val="22"/>
          <w:lang w:val="en-GB"/>
        </w:rPr>
        <w:t>All cases referred to the PHSO are monitored by the Safety and Experience Review Group (SERG). This group has responsibility for signing off actions plans for partially upheld and upheld cases before they are returned to the PHSO. All action plans are developed by the</w:t>
      </w:r>
      <w:r w:rsidRPr="00CF082F">
        <w:rPr>
          <w:rFonts w:ascii="Arial" w:hAnsi="Arial" w:cs="Arial"/>
          <w:lang w:val="en-GB"/>
        </w:rPr>
        <w:t xml:space="preserve"> </w:t>
      </w:r>
      <w:r w:rsidRPr="00CF082F">
        <w:rPr>
          <w:rFonts w:ascii="Arial" w:hAnsi="Arial" w:cs="Arial"/>
          <w:sz w:val="22"/>
          <w:szCs w:val="22"/>
          <w:lang w:val="en-GB"/>
        </w:rPr>
        <w:t xml:space="preserve">relevant division. </w:t>
      </w:r>
    </w:p>
    <w:p w14:paraId="09BA7261" w14:textId="77777777" w:rsidR="00023C09" w:rsidRDefault="00023C09" w:rsidP="001F4F5D"/>
    <w:p w14:paraId="04398439" w14:textId="484636B1" w:rsidR="00646B12" w:rsidRPr="007C48F3" w:rsidRDefault="00C1601D" w:rsidP="008F758B">
      <w:pPr>
        <w:spacing w:after="120"/>
        <w:rPr>
          <w:rFonts w:ascii="Arial" w:hAnsi="Arial" w:cs="Arial"/>
          <w:b/>
          <w:sz w:val="22"/>
          <w:szCs w:val="22"/>
          <w:lang w:val="en-GB"/>
        </w:rPr>
      </w:pPr>
      <w:r>
        <w:rPr>
          <w:rFonts w:ascii="Arial" w:hAnsi="Arial" w:cs="Arial"/>
          <w:b/>
          <w:sz w:val="22"/>
          <w:szCs w:val="22"/>
          <w:lang w:val="en-GB"/>
        </w:rPr>
        <w:t>10</w:t>
      </w:r>
      <w:r w:rsidR="008F758B" w:rsidRPr="007C48F3">
        <w:rPr>
          <w:rFonts w:ascii="Arial" w:hAnsi="Arial" w:cs="Arial"/>
          <w:b/>
          <w:sz w:val="22"/>
          <w:szCs w:val="22"/>
          <w:lang w:val="en-GB"/>
        </w:rPr>
        <w:t>. Learning from Complaints</w:t>
      </w:r>
    </w:p>
    <w:p w14:paraId="3C5D483C" w14:textId="77777777" w:rsidR="0068223E" w:rsidRDefault="0068223E" w:rsidP="0068223E">
      <w:pPr>
        <w:rPr>
          <w:rFonts w:ascii="Arial" w:hAnsi="Arial" w:cs="Arial"/>
          <w:sz w:val="22"/>
          <w:szCs w:val="22"/>
          <w:lang w:val="en-GB"/>
        </w:rPr>
      </w:pPr>
    </w:p>
    <w:p w14:paraId="016F14AC" w14:textId="77777777" w:rsidR="00E23602" w:rsidRDefault="0068223E" w:rsidP="00E23602">
      <w:pPr>
        <w:jc w:val="both"/>
        <w:rPr>
          <w:rFonts w:ascii="Arial" w:hAnsi="Arial" w:cs="Arial"/>
          <w:sz w:val="22"/>
          <w:szCs w:val="22"/>
          <w:lang w:val="en-GB"/>
        </w:rPr>
      </w:pPr>
      <w:r w:rsidRPr="00E23602">
        <w:rPr>
          <w:rFonts w:ascii="Arial" w:hAnsi="Arial" w:cs="Arial"/>
          <w:sz w:val="22"/>
          <w:szCs w:val="22"/>
        </w:rPr>
        <w:t xml:space="preserve">The Trust </w:t>
      </w:r>
      <w:proofErr w:type="spellStart"/>
      <w:r w:rsidRPr="00E23602">
        <w:rPr>
          <w:rFonts w:ascii="Arial" w:hAnsi="Arial" w:cs="Arial"/>
          <w:sz w:val="22"/>
          <w:szCs w:val="22"/>
        </w:rPr>
        <w:t>recognise</w:t>
      </w:r>
      <w:proofErr w:type="spellEnd"/>
      <w:r w:rsidRPr="00E23602">
        <w:rPr>
          <w:rFonts w:ascii="Arial" w:hAnsi="Arial" w:cs="Arial"/>
          <w:sz w:val="22"/>
          <w:szCs w:val="22"/>
        </w:rPr>
        <w:t xml:space="preserve"> that all complaints are a valuable source of learning. All feedback is welcomed by the Trust; positive feedback highlights what we are getting right and need to do more of, whilst concerns and complaints create valuable opportunities to hear about people’s experience of the care and treatment we provide and to make improvements. </w:t>
      </w:r>
    </w:p>
    <w:p w14:paraId="394238E4" w14:textId="77777777" w:rsidR="00E23602" w:rsidRDefault="00E23602" w:rsidP="00E23602">
      <w:pPr>
        <w:jc w:val="both"/>
        <w:rPr>
          <w:rFonts w:ascii="Arial" w:hAnsi="Arial" w:cs="Arial"/>
          <w:sz w:val="22"/>
          <w:szCs w:val="22"/>
          <w:lang w:val="en-GB"/>
        </w:rPr>
      </w:pPr>
    </w:p>
    <w:p w14:paraId="7DCF1EDE" w14:textId="77777777" w:rsidR="009E356A" w:rsidRDefault="0068223E" w:rsidP="00E23602">
      <w:pPr>
        <w:jc w:val="both"/>
        <w:rPr>
          <w:rFonts w:ascii="Arial" w:hAnsi="Arial" w:cs="Arial"/>
          <w:sz w:val="22"/>
          <w:szCs w:val="22"/>
        </w:rPr>
      </w:pPr>
      <w:r w:rsidRPr="00E23602">
        <w:rPr>
          <w:rFonts w:ascii="Arial" w:hAnsi="Arial" w:cs="Arial"/>
          <w:sz w:val="22"/>
          <w:szCs w:val="22"/>
        </w:rPr>
        <w:t xml:space="preserve">The outcome of a complaint will often involve an apology and reflective learning for our staff; </w:t>
      </w:r>
      <w:r w:rsidR="00977BF5" w:rsidRPr="00E23602">
        <w:rPr>
          <w:rFonts w:ascii="Arial" w:hAnsi="Arial" w:cs="Arial"/>
          <w:sz w:val="22"/>
          <w:szCs w:val="22"/>
        </w:rPr>
        <w:t xml:space="preserve">particularly where concerns about </w:t>
      </w:r>
      <w:proofErr w:type="spellStart"/>
      <w:r w:rsidRPr="00E23602">
        <w:rPr>
          <w:rFonts w:ascii="Arial" w:hAnsi="Arial" w:cs="Arial"/>
          <w:sz w:val="22"/>
          <w:szCs w:val="22"/>
        </w:rPr>
        <w:t>behaviour</w:t>
      </w:r>
      <w:proofErr w:type="spellEnd"/>
      <w:r w:rsidRPr="00E23602">
        <w:rPr>
          <w:rFonts w:ascii="Arial" w:hAnsi="Arial" w:cs="Arial"/>
          <w:sz w:val="22"/>
          <w:szCs w:val="22"/>
        </w:rPr>
        <w:t xml:space="preserve"> and communication</w:t>
      </w:r>
      <w:r w:rsidR="00977BF5" w:rsidRPr="00E23602">
        <w:rPr>
          <w:rFonts w:ascii="Arial" w:hAnsi="Arial" w:cs="Arial"/>
          <w:sz w:val="22"/>
          <w:szCs w:val="22"/>
        </w:rPr>
        <w:t xml:space="preserve"> are raised</w:t>
      </w:r>
      <w:r w:rsidRPr="00E23602">
        <w:rPr>
          <w:rFonts w:ascii="Arial" w:hAnsi="Arial" w:cs="Arial"/>
          <w:sz w:val="22"/>
          <w:szCs w:val="22"/>
        </w:rPr>
        <w:t>. On other occasions, a complaint may highlight a failure in a process or system, so the outcome may involve making changes to how we do things for</w:t>
      </w:r>
      <w:r w:rsidR="00977BF5" w:rsidRPr="00E23602">
        <w:rPr>
          <w:rFonts w:ascii="Arial" w:hAnsi="Arial" w:cs="Arial"/>
          <w:sz w:val="22"/>
          <w:szCs w:val="22"/>
        </w:rPr>
        <w:t xml:space="preserve"> </w:t>
      </w:r>
      <w:r w:rsidRPr="00E23602">
        <w:rPr>
          <w:rFonts w:ascii="Arial" w:hAnsi="Arial" w:cs="Arial"/>
          <w:sz w:val="22"/>
          <w:szCs w:val="22"/>
        </w:rPr>
        <w:t xml:space="preserve">future patients. </w:t>
      </w:r>
    </w:p>
    <w:p w14:paraId="69CAB688" w14:textId="77777777" w:rsidR="009E356A" w:rsidRDefault="009E356A" w:rsidP="00E23602">
      <w:pPr>
        <w:jc w:val="both"/>
        <w:rPr>
          <w:rFonts w:ascii="Arial" w:hAnsi="Arial" w:cs="Arial"/>
          <w:sz w:val="22"/>
          <w:szCs w:val="22"/>
        </w:rPr>
      </w:pPr>
    </w:p>
    <w:p w14:paraId="25571E05" w14:textId="54FF736A" w:rsidR="009E356A" w:rsidRPr="009E356A" w:rsidRDefault="009E356A" w:rsidP="009E356A">
      <w:pPr>
        <w:jc w:val="both"/>
        <w:rPr>
          <w:rFonts w:ascii="Arial" w:hAnsi="Arial" w:cs="Arial"/>
          <w:sz w:val="22"/>
          <w:szCs w:val="22"/>
        </w:rPr>
      </w:pPr>
      <w:r w:rsidRPr="009E356A">
        <w:rPr>
          <w:rFonts w:ascii="Arial" w:hAnsi="Arial" w:cs="Arial"/>
          <w:sz w:val="22"/>
          <w:szCs w:val="22"/>
        </w:rPr>
        <w:t xml:space="preserve">Improving how the Trust learn from complaints remains a focus of the Complaint Improvement Group. Having cleared a significant backlog of overdue complaints and increased Divisional Leadership </w:t>
      </w:r>
      <w:proofErr w:type="gramStart"/>
      <w:r w:rsidRPr="009E356A">
        <w:rPr>
          <w:rFonts w:ascii="Arial" w:hAnsi="Arial" w:cs="Arial"/>
          <w:sz w:val="22"/>
          <w:szCs w:val="22"/>
        </w:rPr>
        <w:t>teams</w:t>
      </w:r>
      <w:proofErr w:type="gramEnd"/>
      <w:r w:rsidRPr="009E356A">
        <w:rPr>
          <w:rFonts w:ascii="Arial" w:hAnsi="Arial" w:cs="Arial"/>
          <w:sz w:val="22"/>
          <w:szCs w:val="22"/>
        </w:rPr>
        <w:t xml:space="preserve"> oversight and responsibility for complaints, there is improved visibility of issues, concerns, themes and trends, enabling Divisional and Service line, leadership teams to initiate service improvements, in real time.  </w:t>
      </w:r>
    </w:p>
    <w:p w14:paraId="1A276150" w14:textId="77777777" w:rsidR="009E356A" w:rsidRPr="009E356A" w:rsidRDefault="009E356A" w:rsidP="009E356A">
      <w:pPr>
        <w:jc w:val="both"/>
        <w:rPr>
          <w:rFonts w:ascii="Arial" w:hAnsi="Arial" w:cs="Arial"/>
          <w:sz w:val="22"/>
          <w:szCs w:val="22"/>
        </w:rPr>
      </w:pPr>
    </w:p>
    <w:p w14:paraId="2127AA34" w14:textId="65539D56" w:rsidR="009E356A" w:rsidRDefault="002C2440" w:rsidP="009E356A">
      <w:pPr>
        <w:jc w:val="both"/>
        <w:rPr>
          <w:rFonts w:ascii="Arial" w:hAnsi="Arial" w:cs="Arial"/>
          <w:sz w:val="22"/>
          <w:szCs w:val="22"/>
        </w:rPr>
      </w:pPr>
      <w:r>
        <w:rPr>
          <w:rFonts w:ascii="Arial" w:hAnsi="Arial" w:cs="Arial"/>
          <w:sz w:val="22"/>
          <w:szCs w:val="22"/>
        </w:rPr>
        <w:t xml:space="preserve">New Complaints feature on the agenda of the weekly/fortnightly touchpoint meetings with Divisional Complaint Managers and Divisional Leadership teams; this has significantly improved visibility of developing themes and trends, providing an enhanced opportunity to respond and improve, in real time. </w:t>
      </w:r>
    </w:p>
    <w:p w14:paraId="242ED914" w14:textId="77777777" w:rsidR="009E356A" w:rsidRDefault="009E356A" w:rsidP="009E356A">
      <w:pPr>
        <w:jc w:val="both"/>
        <w:rPr>
          <w:rFonts w:ascii="Arial" w:hAnsi="Arial" w:cs="Arial"/>
          <w:sz w:val="22"/>
          <w:szCs w:val="22"/>
        </w:rPr>
      </w:pPr>
    </w:p>
    <w:p w14:paraId="73CCF614" w14:textId="15A571E0" w:rsidR="009E356A" w:rsidRPr="009E356A" w:rsidRDefault="009E356A" w:rsidP="009E356A">
      <w:pPr>
        <w:jc w:val="both"/>
        <w:rPr>
          <w:rFonts w:ascii="Arial" w:hAnsi="Arial" w:cs="Arial"/>
          <w:sz w:val="22"/>
          <w:szCs w:val="22"/>
        </w:rPr>
      </w:pPr>
      <w:r w:rsidRPr="009E356A">
        <w:rPr>
          <w:rFonts w:ascii="Arial" w:hAnsi="Arial" w:cs="Arial"/>
          <w:sz w:val="22"/>
          <w:szCs w:val="22"/>
        </w:rPr>
        <w:t xml:space="preserve">Communication remains a common theme running through many of the concerns and complaints raised. In recognition of the challenges faced with communication with service users, the Digital team have introduced the Patient Engagement Portal.  Martha’s Rule is also helping to empower patients, families, carers and staff to ensure that their concerns are listened to and acted upon. The introduction of a monthly Experience of Care Meeting in April 2025 will further improve learning from complaints, by the provision of a forum to consider real time issues, concerns, themes and trends across both the PALs and Complaints teams.  Though the work of this group, Divisional and Service line leaders will be supported with designing and developing </w:t>
      </w:r>
      <w:r w:rsidR="00E36F1E">
        <w:rPr>
          <w:rFonts w:ascii="Arial" w:hAnsi="Arial" w:cs="Arial"/>
          <w:sz w:val="22"/>
          <w:szCs w:val="22"/>
        </w:rPr>
        <w:t xml:space="preserve">SMART </w:t>
      </w:r>
      <w:r w:rsidRPr="009E356A">
        <w:rPr>
          <w:rFonts w:ascii="Arial" w:hAnsi="Arial" w:cs="Arial"/>
          <w:sz w:val="22"/>
          <w:szCs w:val="22"/>
        </w:rPr>
        <w:t xml:space="preserve">actions to improve service user experience. </w:t>
      </w:r>
    </w:p>
    <w:p w14:paraId="19094A10" w14:textId="77777777" w:rsidR="009E356A" w:rsidRPr="009E356A" w:rsidRDefault="009E356A" w:rsidP="009E356A">
      <w:pPr>
        <w:jc w:val="both"/>
        <w:rPr>
          <w:rFonts w:ascii="Arial" w:hAnsi="Arial" w:cs="Arial"/>
          <w:sz w:val="22"/>
          <w:szCs w:val="22"/>
        </w:rPr>
      </w:pPr>
    </w:p>
    <w:p w14:paraId="6B290CC0" w14:textId="2E8AA48E" w:rsidR="009E356A" w:rsidRDefault="009E356A" w:rsidP="009E356A">
      <w:pPr>
        <w:jc w:val="both"/>
        <w:rPr>
          <w:rFonts w:ascii="Arial" w:hAnsi="Arial" w:cs="Arial"/>
          <w:sz w:val="22"/>
          <w:szCs w:val="22"/>
        </w:rPr>
      </w:pPr>
      <w:r w:rsidRPr="009E356A">
        <w:rPr>
          <w:rFonts w:ascii="Arial" w:hAnsi="Arial" w:cs="Arial"/>
          <w:sz w:val="22"/>
          <w:szCs w:val="22"/>
        </w:rPr>
        <w:t xml:space="preserve">Action Plans arising from Complex Complaints are monitored and assured through to closure by the Safety, Experience and Review Group. The Complaint Improvement Group have identified the need for an improved approach to monitoring and closing actions arising from standard complaints. Through the work of the Complaint Improvement Group, the feedback module of Datix Cloud will be </w:t>
      </w:r>
      <w:proofErr w:type="spellStart"/>
      <w:r w:rsidRPr="009E356A">
        <w:rPr>
          <w:rFonts w:ascii="Arial" w:hAnsi="Arial" w:cs="Arial"/>
          <w:sz w:val="22"/>
          <w:szCs w:val="22"/>
        </w:rPr>
        <w:t>utilised</w:t>
      </w:r>
      <w:proofErr w:type="spellEnd"/>
      <w:r w:rsidRPr="009E356A">
        <w:rPr>
          <w:rFonts w:ascii="Arial" w:hAnsi="Arial" w:cs="Arial"/>
          <w:sz w:val="22"/>
          <w:szCs w:val="22"/>
        </w:rPr>
        <w:t xml:space="preserve"> to record all outstanding actions; providing a mechanism for Divisional leadership teams to have improved visibility and support staff, with closure.</w:t>
      </w:r>
    </w:p>
    <w:p w14:paraId="7DBE7DF1" w14:textId="77777777" w:rsidR="00DA60EE" w:rsidRDefault="00DA60EE" w:rsidP="009E356A">
      <w:pPr>
        <w:jc w:val="both"/>
        <w:rPr>
          <w:rFonts w:ascii="Arial" w:hAnsi="Arial" w:cs="Arial"/>
          <w:sz w:val="22"/>
          <w:szCs w:val="22"/>
        </w:rPr>
      </w:pPr>
    </w:p>
    <w:p w14:paraId="66144CB0" w14:textId="12B31AF9" w:rsidR="00DA60EE" w:rsidRDefault="00DA60EE" w:rsidP="009E356A">
      <w:pPr>
        <w:jc w:val="both"/>
        <w:rPr>
          <w:rFonts w:ascii="Arial" w:hAnsi="Arial" w:cs="Arial"/>
          <w:sz w:val="22"/>
          <w:szCs w:val="22"/>
        </w:rPr>
      </w:pPr>
      <w:r>
        <w:rPr>
          <w:rFonts w:ascii="Arial" w:hAnsi="Arial" w:cs="Arial"/>
          <w:sz w:val="22"/>
          <w:szCs w:val="22"/>
        </w:rPr>
        <w:t>Guidance for Lead Investigators</w:t>
      </w:r>
      <w:r w:rsidR="002C2440">
        <w:rPr>
          <w:rFonts w:ascii="Arial" w:hAnsi="Arial" w:cs="Arial"/>
          <w:sz w:val="22"/>
          <w:szCs w:val="22"/>
        </w:rPr>
        <w:t xml:space="preserve"> includes advice </w:t>
      </w:r>
      <w:r>
        <w:rPr>
          <w:rFonts w:ascii="Arial" w:hAnsi="Arial" w:cs="Arial"/>
          <w:sz w:val="22"/>
          <w:szCs w:val="22"/>
        </w:rPr>
        <w:t xml:space="preserve">on </w:t>
      </w:r>
      <w:r w:rsidR="002C2440">
        <w:rPr>
          <w:rFonts w:ascii="Arial" w:hAnsi="Arial" w:cs="Arial"/>
          <w:sz w:val="22"/>
          <w:szCs w:val="22"/>
        </w:rPr>
        <w:t xml:space="preserve">the design of SMART actions. </w:t>
      </w:r>
    </w:p>
    <w:p w14:paraId="0E6DE4F3" w14:textId="77777777" w:rsidR="009E356A" w:rsidRDefault="009E356A" w:rsidP="00E23602">
      <w:pPr>
        <w:jc w:val="both"/>
        <w:rPr>
          <w:rFonts w:ascii="Arial" w:hAnsi="Arial" w:cs="Arial"/>
          <w:sz w:val="22"/>
          <w:szCs w:val="22"/>
        </w:rPr>
      </w:pPr>
    </w:p>
    <w:p w14:paraId="59585A5C" w14:textId="35C21C83" w:rsidR="009E356A" w:rsidRPr="009E356A" w:rsidRDefault="00C1601D" w:rsidP="00E23602">
      <w:pPr>
        <w:jc w:val="both"/>
        <w:rPr>
          <w:rFonts w:ascii="Arial" w:hAnsi="Arial" w:cs="Arial"/>
          <w:b/>
          <w:bCs/>
          <w:sz w:val="22"/>
          <w:szCs w:val="22"/>
          <w:u w:val="single"/>
        </w:rPr>
      </w:pPr>
      <w:r>
        <w:rPr>
          <w:rFonts w:ascii="Arial" w:hAnsi="Arial" w:cs="Arial"/>
          <w:b/>
          <w:bCs/>
          <w:sz w:val="22"/>
          <w:szCs w:val="22"/>
          <w:u w:val="single"/>
        </w:rPr>
        <w:t>10</w:t>
      </w:r>
      <w:r w:rsidR="009E356A" w:rsidRPr="009E356A">
        <w:rPr>
          <w:rFonts w:ascii="Arial" w:hAnsi="Arial" w:cs="Arial"/>
          <w:b/>
          <w:bCs/>
          <w:sz w:val="22"/>
          <w:szCs w:val="22"/>
          <w:u w:val="single"/>
        </w:rPr>
        <w:t xml:space="preserve">.1 </w:t>
      </w:r>
      <w:r w:rsidR="008F35B9">
        <w:rPr>
          <w:rFonts w:ascii="Arial" w:hAnsi="Arial" w:cs="Arial"/>
          <w:b/>
          <w:bCs/>
          <w:sz w:val="22"/>
          <w:szCs w:val="22"/>
          <w:u w:val="single"/>
        </w:rPr>
        <w:t>Surgical Division</w:t>
      </w:r>
    </w:p>
    <w:p w14:paraId="54C9D821" w14:textId="77777777" w:rsidR="009E356A" w:rsidRDefault="009E356A" w:rsidP="00E23602">
      <w:pPr>
        <w:jc w:val="both"/>
        <w:rPr>
          <w:rFonts w:ascii="Arial" w:hAnsi="Arial" w:cs="Arial"/>
          <w:sz w:val="22"/>
          <w:szCs w:val="22"/>
        </w:rPr>
      </w:pPr>
    </w:p>
    <w:p w14:paraId="528CFB23" w14:textId="558697C4" w:rsidR="009E356A" w:rsidRDefault="00FE6128" w:rsidP="00E23602">
      <w:pPr>
        <w:jc w:val="both"/>
        <w:rPr>
          <w:rFonts w:ascii="Arial" w:hAnsi="Arial" w:cs="Arial"/>
          <w:sz w:val="22"/>
          <w:szCs w:val="22"/>
        </w:rPr>
      </w:pPr>
      <w:r>
        <w:rPr>
          <w:rFonts w:ascii="Arial" w:hAnsi="Arial" w:cs="Arial"/>
          <w:sz w:val="22"/>
          <w:szCs w:val="22"/>
        </w:rPr>
        <w:lastRenderedPageBreak/>
        <w:t>Figure 6</w:t>
      </w:r>
      <w:r w:rsidR="009E356A">
        <w:rPr>
          <w:rFonts w:ascii="Arial" w:hAnsi="Arial" w:cs="Arial"/>
          <w:sz w:val="22"/>
          <w:szCs w:val="22"/>
        </w:rPr>
        <w:t xml:space="preserve"> represents a thematic analysis </w:t>
      </w:r>
      <w:r w:rsidR="007E1424">
        <w:rPr>
          <w:rFonts w:ascii="Arial" w:hAnsi="Arial" w:cs="Arial"/>
          <w:sz w:val="22"/>
          <w:szCs w:val="22"/>
        </w:rPr>
        <w:t xml:space="preserve">of Complaints received by the </w:t>
      </w:r>
      <w:r w:rsidR="009E356A" w:rsidRPr="008F35B9">
        <w:rPr>
          <w:rFonts w:ascii="Arial" w:hAnsi="Arial" w:cs="Arial"/>
          <w:b/>
          <w:bCs/>
          <w:i/>
          <w:iCs/>
          <w:sz w:val="22"/>
          <w:szCs w:val="22"/>
        </w:rPr>
        <w:t>Surgical Division</w:t>
      </w:r>
      <w:r w:rsidR="009E356A">
        <w:rPr>
          <w:rFonts w:ascii="Arial" w:hAnsi="Arial" w:cs="Arial"/>
          <w:sz w:val="22"/>
          <w:szCs w:val="22"/>
        </w:rPr>
        <w:t xml:space="preserve">.  This demonstrates that </w:t>
      </w:r>
      <w:r w:rsidR="005B0653">
        <w:rPr>
          <w:rFonts w:ascii="Arial" w:hAnsi="Arial" w:cs="Arial"/>
          <w:sz w:val="22"/>
          <w:szCs w:val="22"/>
        </w:rPr>
        <w:t>the Trauma (</w:t>
      </w:r>
      <w:proofErr w:type="spellStart"/>
      <w:r w:rsidR="005B0653">
        <w:rPr>
          <w:rFonts w:ascii="Arial" w:hAnsi="Arial" w:cs="Arial"/>
          <w:sz w:val="22"/>
          <w:szCs w:val="22"/>
        </w:rPr>
        <w:t>Orthopaedic</w:t>
      </w:r>
      <w:proofErr w:type="spellEnd"/>
      <w:r w:rsidR="005B0653">
        <w:rPr>
          <w:rFonts w:ascii="Arial" w:hAnsi="Arial" w:cs="Arial"/>
          <w:sz w:val="22"/>
          <w:szCs w:val="22"/>
        </w:rPr>
        <w:t xml:space="preserve">) service </w:t>
      </w:r>
      <w:proofErr w:type="gramStart"/>
      <w:r w:rsidR="005B0653">
        <w:rPr>
          <w:rFonts w:ascii="Arial" w:hAnsi="Arial" w:cs="Arial"/>
          <w:sz w:val="22"/>
          <w:szCs w:val="22"/>
        </w:rPr>
        <w:t>receive</w:t>
      </w:r>
      <w:proofErr w:type="gramEnd"/>
      <w:r w:rsidR="005B0653">
        <w:rPr>
          <w:rFonts w:ascii="Arial" w:hAnsi="Arial" w:cs="Arial"/>
          <w:sz w:val="22"/>
          <w:szCs w:val="22"/>
        </w:rPr>
        <w:t xml:space="preserve"> the highest numbers of complaints, with the most common issues relating to appointments, communication, delay, attitude and care. </w:t>
      </w:r>
    </w:p>
    <w:p w14:paraId="70C3861E" w14:textId="77777777" w:rsidR="009E356A" w:rsidRDefault="009E356A" w:rsidP="00E23602">
      <w:pPr>
        <w:jc w:val="both"/>
        <w:rPr>
          <w:rFonts w:ascii="Arial" w:hAnsi="Arial" w:cs="Arial"/>
          <w:sz w:val="22"/>
          <w:szCs w:val="22"/>
        </w:rPr>
      </w:pPr>
    </w:p>
    <w:p w14:paraId="5CF5AF7D" w14:textId="755D3DC3" w:rsidR="00FE6128" w:rsidRPr="00FE6128" w:rsidRDefault="00FE6128" w:rsidP="00E23602">
      <w:pPr>
        <w:jc w:val="both"/>
        <w:rPr>
          <w:rFonts w:ascii="Arial" w:hAnsi="Arial" w:cs="Arial"/>
          <w:b/>
          <w:bCs/>
          <w:sz w:val="22"/>
          <w:szCs w:val="22"/>
          <w:u w:val="single"/>
        </w:rPr>
      </w:pPr>
      <w:r w:rsidRPr="00FE6128">
        <w:rPr>
          <w:rFonts w:ascii="Arial" w:hAnsi="Arial" w:cs="Arial"/>
          <w:b/>
          <w:bCs/>
          <w:sz w:val="22"/>
          <w:szCs w:val="22"/>
          <w:u w:val="single"/>
        </w:rPr>
        <w:t>Figure 6</w:t>
      </w:r>
    </w:p>
    <w:p w14:paraId="2DFF5BDB" w14:textId="03362FE2" w:rsidR="00C66679" w:rsidRPr="003D547D" w:rsidRDefault="00C66679" w:rsidP="003D547D">
      <w:pPr>
        <w:spacing w:after="120"/>
        <w:jc w:val="both"/>
        <w:rPr>
          <w:rFonts w:ascii="Arial" w:hAnsi="Arial" w:cs="Arial"/>
          <w:sz w:val="22"/>
          <w:szCs w:val="22"/>
          <w:lang w:val="en-GB"/>
        </w:rPr>
      </w:pPr>
      <w:r>
        <w:rPr>
          <w:rFonts w:ascii="Arial" w:hAnsi="Arial" w:cs="Arial"/>
          <w:noProof/>
          <w:sz w:val="22"/>
          <w:szCs w:val="22"/>
          <w:lang w:val="en-GB"/>
        </w:rPr>
        <w:drawing>
          <wp:inline distT="0" distB="0" distL="0" distR="0" wp14:anchorId="73366233" wp14:editId="55A1BD20">
            <wp:extent cx="6120765" cy="2844800"/>
            <wp:effectExtent l="0" t="0" r="0" b="0"/>
            <wp:docPr id="1940843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765" cy="2844800"/>
                    </a:xfrm>
                    <a:prstGeom prst="rect">
                      <a:avLst/>
                    </a:prstGeom>
                    <a:noFill/>
                  </pic:spPr>
                </pic:pic>
              </a:graphicData>
            </a:graphic>
          </wp:inline>
        </w:drawing>
      </w:r>
    </w:p>
    <w:p w14:paraId="018617F9" w14:textId="0C6BFDC6" w:rsidR="00F704AA" w:rsidRDefault="00F704AA" w:rsidP="008F35B9">
      <w:pPr>
        <w:spacing w:after="120"/>
        <w:jc w:val="both"/>
        <w:rPr>
          <w:rFonts w:ascii="Arial" w:hAnsi="Arial" w:cs="Arial"/>
          <w:sz w:val="22"/>
          <w:szCs w:val="22"/>
          <w:lang w:val="en-GB"/>
        </w:rPr>
      </w:pPr>
      <w:r>
        <w:rPr>
          <w:rFonts w:ascii="Arial" w:hAnsi="Arial" w:cs="Arial"/>
          <w:sz w:val="22"/>
          <w:szCs w:val="22"/>
          <w:lang w:val="en-GB"/>
        </w:rPr>
        <w:t>The T&amp;O service</w:t>
      </w:r>
      <w:r w:rsidRPr="00F704AA">
        <w:rPr>
          <w:rFonts w:ascii="Arial" w:hAnsi="Arial" w:cs="Arial"/>
          <w:sz w:val="22"/>
          <w:szCs w:val="22"/>
          <w:lang w:val="en-GB"/>
        </w:rPr>
        <w:t xml:space="preserve"> ha</w:t>
      </w:r>
      <w:r>
        <w:rPr>
          <w:rFonts w:ascii="Arial" w:hAnsi="Arial" w:cs="Arial"/>
          <w:sz w:val="22"/>
          <w:szCs w:val="22"/>
          <w:lang w:val="en-GB"/>
        </w:rPr>
        <w:t>ve</w:t>
      </w:r>
      <w:r w:rsidRPr="00F704AA">
        <w:rPr>
          <w:rFonts w:ascii="Arial" w:hAnsi="Arial" w:cs="Arial"/>
          <w:sz w:val="22"/>
          <w:szCs w:val="22"/>
          <w:lang w:val="en-GB"/>
        </w:rPr>
        <w:t xml:space="preserve"> implemented a comprehensive set of improvement initiatives for the 2024–2025 period, focusing on three key domains: communication, attitude, and care. These initiatives are part of a locally developed and delivered improvement action plan</w:t>
      </w:r>
      <w:r>
        <w:rPr>
          <w:rFonts w:ascii="Arial" w:hAnsi="Arial" w:cs="Arial"/>
          <w:sz w:val="22"/>
          <w:szCs w:val="22"/>
          <w:lang w:val="en-GB"/>
        </w:rPr>
        <w:t>:</w:t>
      </w:r>
    </w:p>
    <w:p w14:paraId="71E8087D" w14:textId="6705BDE4" w:rsidR="00F704AA" w:rsidRPr="00F704AA" w:rsidRDefault="00F704AA" w:rsidP="00F704AA">
      <w:pPr>
        <w:spacing w:after="120"/>
        <w:jc w:val="both"/>
        <w:rPr>
          <w:rFonts w:ascii="Arial" w:hAnsi="Arial" w:cs="Arial"/>
          <w:b/>
          <w:bCs/>
          <w:sz w:val="22"/>
          <w:szCs w:val="22"/>
          <w:u w:val="single"/>
          <w:lang w:val="en-GB"/>
        </w:rPr>
      </w:pPr>
      <w:r w:rsidRPr="00F704AA">
        <w:rPr>
          <w:rFonts w:ascii="Arial" w:hAnsi="Arial" w:cs="Arial"/>
          <w:b/>
          <w:bCs/>
          <w:sz w:val="22"/>
          <w:szCs w:val="22"/>
          <w:u w:val="single"/>
          <w:lang w:val="en-GB"/>
        </w:rPr>
        <w:t>Communication</w:t>
      </w:r>
    </w:p>
    <w:p w14:paraId="779A4749" w14:textId="77777777" w:rsidR="00F704AA" w:rsidRDefault="00F704AA" w:rsidP="00F704AA">
      <w:pPr>
        <w:pStyle w:val="ListParagraph"/>
        <w:numPr>
          <w:ilvl w:val="0"/>
          <w:numId w:val="38"/>
        </w:numPr>
        <w:spacing w:after="120"/>
        <w:jc w:val="both"/>
        <w:rPr>
          <w:rFonts w:ascii="Arial" w:hAnsi="Arial" w:cs="Arial"/>
          <w:sz w:val="22"/>
          <w:szCs w:val="22"/>
          <w:lang w:val="en-GB"/>
        </w:rPr>
      </w:pPr>
      <w:r w:rsidRPr="00F704AA">
        <w:rPr>
          <w:rFonts w:ascii="Arial" w:hAnsi="Arial" w:cs="Arial"/>
          <w:sz w:val="22"/>
          <w:szCs w:val="22"/>
          <w:lang w:val="en-GB"/>
        </w:rPr>
        <w:t>Clear escalation protocols have been reinforced, ensuring staff escalate concerns promptly to the Matron in the absence of the Band 7 nurse.</w:t>
      </w:r>
    </w:p>
    <w:p w14:paraId="617AD418" w14:textId="77777777" w:rsidR="00F704AA" w:rsidRDefault="00F704AA" w:rsidP="00F704AA">
      <w:pPr>
        <w:pStyle w:val="ListParagraph"/>
        <w:numPr>
          <w:ilvl w:val="0"/>
          <w:numId w:val="38"/>
        </w:numPr>
        <w:spacing w:after="120"/>
        <w:jc w:val="both"/>
        <w:rPr>
          <w:rFonts w:ascii="Arial" w:hAnsi="Arial" w:cs="Arial"/>
          <w:sz w:val="22"/>
          <w:szCs w:val="22"/>
          <w:lang w:val="en-GB"/>
        </w:rPr>
      </w:pPr>
      <w:r w:rsidRPr="00F704AA">
        <w:rPr>
          <w:rFonts w:ascii="Arial" w:hAnsi="Arial" w:cs="Arial"/>
          <w:sz w:val="22"/>
          <w:szCs w:val="22"/>
          <w:lang w:val="en-GB"/>
        </w:rPr>
        <w:t>Emphasis has been placed on timely and transparent communication with patients and their families, particularly around discharge and theatre planning.</w:t>
      </w:r>
    </w:p>
    <w:p w14:paraId="5ED6EFFB" w14:textId="77777777" w:rsidR="00F704AA" w:rsidRDefault="00F704AA" w:rsidP="00F704AA">
      <w:pPr>
        <w:pStyle w:val="ListParagraph"/>
        <w:numPr>
          <w:ilvl w:val="0"/>
          <w:numId w:val="38"/>
        </w:numPr>
        <w:spacing w:after="120"/>
        <w:jc w:val="both"/>
        <w:rPr>
          <w:rFonts w:ascii="Arial" w:hAnsi="Arial" w:cs="Arial"/>
          <w:sz w:val="22"/>
          <w:szCs w:val="22"/>
          <w:lang w:val="en-GB"/>
        </w:rPr>
      </w:pPr>
      <w:r w:rsidRPr="00F704AA">
        <w:rPr>
          <w:rFonts w:ascii="Arial" w:hAnsi="Arial" w:cs="Arial"/>
          <w:sz w:val="22"/>
          <w:szCs w:val="22"/>
          <w:lang w:val="en-GB"/>
        </w:rPr>
        <w:t>Safety huddles are now fully embedded across all ward areas.</w:t>
      </w:r>
    </w:p>
    <w:p w14:paraId="44857B7F" w14:textId="77777777" w:rsidR="00F704AA" w:rsidRDefault="00F704AA" w:rsidP="00F704AA">
      <w:pPr>
        <w:pStyle w:val="ListParagraph"/>
        <w:numPr>
          <w:ilvl w:val="0"/>
          <w:numId w:val="38"/>
        </w:numPr>
        <w:spacing w:after="120"/>
        <w:jc w:val="both"/>
        <w:rPr>
          <w:rFonts w:ascii="Arial" w:hAnsi="Arial" w:cs="Arial"/>
          <w:sz w:val="22"/>
          <w:szCs w:val="22"/>
          <w:lang w:val="en-GB"/>
        </w:rPr>
      </w:pPr>
      <w:r w:rsidRPr="00F704AA">
        <w:rPr>
          <w:rFonts w:ascii="Arial" w:hAnsi="Arial" w:cs="Arial"/>
          <w:sz w:val="22"/>
          <w:szCs w:val="22"/>
          <w:lang w:val="en-GB"/>
        </w:rPr>
        <w:t>The Nurse in Charge is responsible for ensuring clarity of care plans during board and ward rounds, and for confirming patient and next-of-kin (NOK) understanding.</w:t>
      </w:r>
    </w:p>
    <w:p w14:paraId="4301D0F7" w14:textId="77777777" w:rsidR="00F704AA" w:rsidRDefault="00F704AA" w:rsidP="00F704AA">
      <w:pPr>
        <w:pStyle w:val="ListParagraph"/>
        <w:numPr>
          <w:ilvl w:val="0"/>
          <w:numId w:val="38"/>
        </w:numPr>
        <w:spacing w:after="120"/>
        <w:jc w:val="both"/>
        <w:rPr>
          <w:rFonts w:ascii="Arial" w:hAnsi="Arial" w:cs="Arial"/>
          <w:sz w:val="22"/>
          <w:szCs w:val="22"/>
          <w:lang w:val="en-GB"/>
        </w:rPr>
      </w:pPr>
      <w:r w:rsidRPr="00F704AA">
        <w:rPr>
          <w:rFonts w:ascii="Arial" w:hAnsi="Arial" w:cs="Arial"/>
          <w:sz w:val="22"/>
          <w:szCs w:val="22"/>
          <w:lang w:val="en-GB"/>
        </w:rPr>
        <w:t>A monthly Matron checklist has been introduced, conducted at random times, which includes direct patient feedback on their care experience.</w:t>
      </w:r>
    </w:p>
    <w:p w14:paraId="2FE23D4D" w14:textId="77777777" w:rsidR="00F704AA" w:rsidRDefault="00F704AA" w:rsidP="00F704AA">
      <w:pPr>
        <w:pStyle w:val="ListParagraph"/>
        <w:numPr>
          <w:ilvl w:val="0"/>
          <w:numId w:val="38"/>
        </w:numPr>
        <w:spacing w:after="120"/>
        <w:jc w:val="both"/>
        <w:rPr>
          <w:rFonts w:ascii="Arial" w:hAnsi="Arial" w:cs="Arial"/>
          <w:sz w:val="22"/>
          <w:szCs w:val="22"/>
          <w:lang w:val="en-GB"/>
        </w:rPr>
      </w:pPr>
      <w:r w:rsidRPr="00F704AA">
        <w:rPr>
          <w:rFonts w:ascii="Arial" w:hAnsi="Arial" w:cs="Arial"/>
          <w:sz w:val="22"/>
          <w:szCs w:val="22"/>
          <w:lang w:val="en-GB"/>
        </w:rPr>
        <w:t>Patients in the TAU (Treatment Assessment Unit) are regularly updated regarding waiting times.</w:t>
      </w:r>
    </w:p>
    <w:p w14:paraId="57D53B96" w14:textId="0115797C" w:rsidR="00F704AA" w:rsidRDefault="00F704AA" w:rsidP="00F704AA">
      <w:pPr>
        <w:pStyle w:val="ListParagraph"/>
        <w:numPr>
          <w:ilvl w:val="0"/>
          <w:numId w:val="38"/>
        </w:numPr>
        <w:spacing w:after="120"/>
        <w:jc w:val="both"/>
        <w:rPr>
          <w:rFonts w:ascii="Arial" w:hAnsi="Arial" w:cs="Arial"/>
          <w:sz w:val="22"/>
          <w:szCs w:val="22"/>
          <w:lang w:val="en-GB"/>
        </w:rPr>
      </w:pPr>
      <w:r w:rsidRPr="00F704AA">
        <w:rPr>
          <w:rFonts w:ascii="Arial" w:hAnsi="Arial" w:cs="Arial"/>
          <w:sz w:val="22"/>
          <w:szCs w:val="22"/>
          <w:lang w:val="en-GB"/>
        </w:rPr>
        <w:t>Communication improvements are a core component of the ward’s overarching action plan.</w:t>
      </w:r>
    </w:p>
    <w:p w14:paraId="7500B6B2" w14:textId="4A1704D8" w:rsidR="00F704AA" w:rsidRDefault="00F704AA" w:rsidP="00F704AA">
      <w:pPr>
        <w:spacing w:after="120"/>
        <w:jc w:val="both"/>
        <w:rPr>
          <w:rFonts w:ascii="Arial" w:hAnsi="Arial" w:cs="Arial"/>
          <w:b/>
          <w:bCs/>
          <w:sz w:val="22"/>
          <w:szCs w:val="22"/>
          <w:u w:val="single"/>
          <w:lang w:val="en-GB"/>
        </w:rPr>
      </w:pPr>
      <w:r w:rsidRPr="00F704AA">
        <w:rPr>
          <w:rFonts w:ascii="Arial" w:hAnsi="Arial" w:cs="Arial"/>
          <w:b/>
          <w:bCs/>
          <w:sz w:val="22"/>
          <w:szCs w:val="22"/>
          <w:u w:val="single"/>
          <w:lang w:val="en-GB"/>
        </w:rPr>
        <w:t>Attitud</w:t>
      </w:r>
      <w:r>
        <w:rPr>
          <w:rFonts w:ascii="Arial" w:hAnsi="Arial" w:cs="Arial"/>
          <w:b/>
          <w:bCs/>
          <w:sz w:val="22"/>
          <w:szCs w:val="22"/>
          <w:u w:val="single"/>
          <w:lang w:val="en-GB"/>
        </w:rPr>
        <w:t>e</w:t>
      </w:r>
    </w:p>
    <w:p w14:paraId="7644B671" w14:textId="77777777" w:rsidR="00F704AA" w:rsidRPr="00F704AA" w:rsidRDefault="00F704AA" w:rsidP="00F704AA">
      <w:pPr>
        <w:pStyle w:val="ListParagraph"/>
        <w:numPr>
          <w:ilvl w:val="0"/>
          <w:numId w:val="39"/>
        </w:numPr>
        <w:spacing w:after="120"/>
        <w:jc w:val="both"/>
        <w:rPr>
          <w:rFonts w:ascii="Arial" w:hAnsi="Arial" w:cs="Arial"/>
          <w:sz w:val="22"/>
          <w:szCs w:val="22"/>
          <w:lang w:val="en-GB"/>
        </w:rPr>
      </w:pPr>
      <w:r w:rsidRPr="00F704AA">
        <w:rPr>
          <w:rFonts w:ascii="Arial" w:hAnsi="Arial" w:cs="Arial"/>
          <w:sz w:val="22"/>
          <w:szCs w:val="22"/>
          <w:lang w:val="en-GB"/>
        </w:rPr>
        <w:t>Ongoing work is being undertaken to improve ward culture and staff attitudes.</w:t>
      </w:r>
    </w:p>
    <w:p w14:paraId="451809A8" w14:textId="77777777" w:rsidR="00F704AA" w:rsidRPr="00F704AA" w:rsidRDefault="00F704AA" w:rsidP="00F704AA">
      <w:pPr>
        <w:pStyle w:val="ListParagraph"/>
        <w:numPr>
          <w:ilvl w:val="0"/>
          <w:numId w:val="39"/>
        </w:numPr>
        <w:spacing w:after="120"/>
        <w:jc w:val="both"/>
        <w:rPr>
          <w:rFonts w:ascii="Arial" w:hAnsi="Arial" w:cs="Arial"/>
          <w:sz w:val="22"/>
          <w:szCs w:val="22"/>
          <w:lang w:val="en-GB"/>
        </w:rPr>
      </w:pPr>
      <w:r w:rsidRPr="00F704AA">
        <w:rPr>
          <w:rFonts w:ascii="Arial" w:hAnsi="Arial" w:cs="Arial"/>
          <w:sz w:val="22"/>
          <w:szCs w:val="22"/>
          <w:lang w:val="en-GB"/>
        </w:rPr>
        <w:t>Any instances of unprofessional behaviour are promptly investigated and addressed.</w:t>
      </w:r>
    </w:p>
    <w:p w14:paraId="46374E91" w14:textId="77777777" w:rsidR="00F704AA" w:rsidRPr="00F704AA" w:rsidRDefault="00F704AA" w:rsidP="00F704AA">
      <w:pPr>
        <w:pStyle w:val="ListParagraph"/>
        <w:numPr>
          <w:ilvl w:val="0"/>
          <w:numId w:val="39"/>
        </w:numPr>
        <w:spacing w:after="120"/>
        <w:jc w:val="both"/>
        <w:rPr>
          <w:rFonts w:ascii="Arial" w:hAnsi="Arial" w:cs="Arial"/>
          <w:sz w:val="22"/>
          <w:szCs w:val="22"/>
          <w:lang w:val="en-GB"/>
        </w:rPr>
      </w:pPr>
      <w:r w:rsidRPr="00F704AA">
        <w:rPr>
          <w:rFonts w:ascii="Arial" w:hAnsi="Arial" w:cs="Arial"/>
          <w:sz w:val="22"/>
          <w:szCs w:val="22"/>
          <w:lang w:val="en-GB"/>
        </w:rPr>
        <w:t>Staff have been reminded—via internal communication channels—of the Trust’s and Matron’s expectations regarding professionalism, kindness, and teamwork.</w:t>
      </w:r>
    </w:p>
    <w:p w14:paraId="52CDF707" w14:textId="77777777" w:rsidR="00F704AA" w:rsidRPr="00F704AA" w:rsidRDefault="00F704AA" w:rsidP="00F704AA">
      <w:pPr>
        <w:pStyle w:val="ListParagraph"/>
        <w:numPr>
          <w:ilvl w:val="0"/>
          <w:numId w:val="39"/>
        </w:numPr>
        <w:spacing w:after="120"/>
        <w:jc w:val="both"/>
        <w:rPr>
          <w:rFonts w:ascii="Arial" w:hAnsi="Arial" w:cs="Arial"/>
          <w:sz w:val="22"/>
          <w:szCs w:val="22"/>
          <w:lang w:val="en-GB"/>
        </w:rPr>
      </w:pPr>
      <w:r w:rsidRPr="00F704AA">
        <w:rPr>
          <w:rFonts w:ascii="Arial" w:hAnsi="Arial" w:cs="Arial"/>
          <w:sz w:val="22"/>
          <w:szCs w:val="22"/>
          <w:lang w:val="en-GB"/>
        </w:rPr>
        <w:t>A Trauma and Orthopaedics (T&amp;O) Nursing Conference is scheduled for March 2026, with a focus on embedding positive team culture and expectations.</w:t>
      </w:r>
    </w:p>
    <w:p w14:paraId="069FBFEB" w14:textId="428AA607" w:rsidR="00F704AA" w:rsidRDefault="00F704AA" w:rsidP="00F704AA">
      <w:pPr>
        <w:pStyle w:val="ListParagraph"/>
        <w:numPr>
          <w:ilvl w:val="0"/>
          <w:numId w:val="39"/>
        </w:numPr>
        <w:spacing w:after="120"/>
        <w:jc w:val="both"/>
        <w:rPr>
          <w:rFonts w:ascii="Arial" w:hAnsi="Arial" w:cs="Arial"/>
          <w:sz w:val="22"/>
          <w:szCs w:val="22"/>
          <w:lang w:val="en-GB"/>
        </w:rPr>
      </w:pPr>
      <w:r w:rsidRPr="00F704AA">
        <w:rPr>
          <w:rFonts w:ascii="Arial" w:hAnsi="Arial" w:cs="Arial"/>
          <w:sz w:val="22"/>
          <w:szCs w:val="22"/>
          <w:lang w:val="en-GB"/>
        </w:rPr>
        <w:t>The ward management team is committed to leading by example in upholding professional standards</w:t>
      </w:r>
    </w:p>
    <w:p w14:paraId="62A4A6BB" w14:textId="342F4160" w:rsidR="00F704AA" w:rsidRDefault="00F704AA" w:rsidP="00F704AA">
      <w:pPr>
        <w:spacing w:after="120"/>
        <w:jc w:val="both"/>
        <w:rPr>
          <w:rFonts w:ascii="Arial" w:hAnsi="Arial" w:cs="Arial"/>
          <w:b/>
          <w:bCs/>
          <w:sz w:val="22"/>
          <w:szCs w:val="22"/>
          <w:u w:val="single"/>
          <w:lang w:val="en-GB"/>
        </w:rPr>
      </w:pPr>
      <w:r w:rsidRPr="00F704AA">
        <w:rPr>
          <w:rFonts w:ascii="Arial" w:hAnsi="Arial" w:cs="Arial"/>
          <w:b/>
          <w:bCs/>
          <w:sz w:val="22"/>
          <w:szCs w:val="22"/>
          <w:u w:val="single"/>
          <w:lang w:val="en-GB"/>
        </w:rPr>
        <w:t>Care</w:t>
      </w:r>
    </w:p>
    <w:p w14:paraId="3C777241" w14:textId="77777777" w:rsidR="00F704AA" w:rsidRPr="00F704AA" w:rsidRDefault="00F704AA" w:rsidP="00F704AA">
      <w:pPr>
        <w:pStyle w:val="ListParagraph"/>
        <w:numPr>
          <w:ilvl w:val="0"/>
          <w:numId w:val="40"/>
        </w:numPr>
        <w:spacing w:after="120"/>
        <w:jc w:val="both"/>
        <w:rPr>
          <w:rFonts w:ascii="Arial" w:hAnsi="Arial" w:cs="Arial"/>
          <w:sz w:val="22"/>
          <w:szCs w:val="22"/>
          <w:lang w:val="en-GB"/>
        </w:rPr>
      </w:pPr>
      <w:r w:rsidRPr="00F704AA">
        <w:rPr>
          <w:rFonts w:ascii="Arial" w:hAnsi="Arial" w:cs="Arial"/>
          <w:sz w:val="22"/>
          <w:szCs w:val="22"/>
          <w:lang w:val="en-GB"/>
        </w:rPr>
        <w:t>Appraisal completion rates across all ward areas exceed 94%.</w:t>
      </w:r>
    </w:p>
    <w:p w14:paraId="4D66F743" w14:textId="77777777" w:rsidR="00F704AA" w:rsidRPr="00F704AA" w:rsidRDefault="00F704AA" w:rsidP="00F704AA">
      <w:pPr>
        <w:pStyle w:val="ListParagraph"/>
        <w:numPr>
          <w:ilvl w:val="0"/>
          <w:numId w:val="40"/>
        </w:numPr>
        <w:spacing w:after="120"/>
        <w:jc w:val="both"/>
        <w:rPr>
          <w:rFonts w:ascii="Arial" w:hAnsi="Arial" w:cs="Arial"/>
          <w:sz w:val="22"/>
          <w:szCs w:val="22"/>
          <w:lang w:val="en-GB"/>
        </w:rPr>
      </w:pPr>
      <w:r w:rsidRPr="00F704AA">
        <w:rPr>
          <w:rFonts w:ascii="Arial" w:hAnsi="Arial" w:cs="Arial"/>
          <w:sz w:val="22"/>
          <w:szCs w:val="22"/>
          <w:lang w:val="en-GB"/>
        </w:rPr>
        <w:t>Quality data is shared with staff on a monthly basis to promote transparency and continuous improvement.</w:t>
      </w:r>
    </w:p>
    <w:p w14:paraId="0228A268" w14:textId="25F34DBA" w:rsidR="00F704AA" w:rsidRPr="00F704AA" w:rsidRDefault="00F704AA" w:rsidP="00F704AA">
      <w:pPr>
        <w:pStyle w:val="ListParagraph"/>
        <w:numPr>
          <w:ilvl w:val="0"/>
          <w:numId w:val="40"/>
        </w:numPr>
        <w:spacing w:after="120"/>
        <w:jc w:val="both"/>
        <w:rPr>
          <w:rFonts w:ascii="Arial" w:hAnsi="Arial" w:cs="Arial"/>
          <w:sz w:val="22"/>
          <w:szCs w:val="22"/>
          <w:lang w:val="en-GB"/>
        </w:rPr>
      </w:pPr>
      <w:r w:rsidRPr="00F704AA">
        <w:rPr>
          <w:rFonts w:ascii="Arial" w:hAnsi="Arial" w:cs="Arial"/>
          <w:sz w:val="22"/>
          <w:szCs w:val="22"/>
          <w:lang w:val="en-GB"/>
        </w:rPr>
        <w:t>A clinical training programme is in place with a focus on T&amp;O-specific competencies.</w:t>
      </w:r>
    </w:p>
    <w:p w14:paraId="6BEB13D2" w14:textId="77777777" w:rsidR="00F704AA" w:rsidRPr="00F704AA" w:rsidRDefault="00F704AA" w:rsidP="00F704AA">
      <w:pPr>
        <w:pStyle w:val="ListParagraph"/>
        <w:numPr>
          <w:ilvl w:val="0"/>
          <w:numId w:val="40"/>
        </w:numPr>
        <w:spacing w:after="120"/>
        <w:jc w:val="both"/>
        <w:rPr>
          <w:rFonts w:ascii="Arial" w:hAnsi="Arial" w:cs="Arial"/>
          <w:sz w:val="22"/>
          <w:szCs w:val="22"/>
          <w:lang w:val="en-GB"/>
        </w:rPr>
      </w:pPr>
      <w:r w:rsidRPr="00F704AA">
        <w:rPr>
          <w:rFonts w:ascii="Arial" w:hAnsi="Arial" w:cs="Arial"/>
          <w:sz w:val="22"/>
          <w:szCs w:val="22"/>
          <w:lang w:val="en-GB"/>
        </w:rPr>
        <w:lastRenderedPageBreak/>
        <w:t>Updated nurse-led competencies have been introduced to support extended skills in T&amp;O.</w:t>
      </w:r>
    </w:p>
    <w:p w14:paraId="54CEAEEC" w14:textId="3464474B" w:rsidR="00F704AA" w:rsidRPr="00F704AA" w:rsidRDefault="00F704AA" w:rsidP="00F704AA">
      <w:pPr>
        <w:pStyle w:val="ListParagraph"/>
        <w:numPr>
          <w:ilvl w:val="0"/>
          <w:numId w:val="40"/>
        </w:numPr>
        <w:spacing w:after="120"/>
        <w:jc w:val="both"/>
        <w:rPr>
          <w:rFonts w:ascii="Arial" w:hAnsi="Arial" w:cs="Arial"/>
          <w:sz w:val="22"/>
          <w:szCs w:val="22"/>
          <w:lang w:val="en-GB"/>
        </w:rPr>
      </w:pPr>
      <w:r w:rsidRPr="00F704AA">
        <w:rPr>
          <w:rFonts w:ascii="Arial" w:hAnsi="Arial" w:cs="Arial"/>
          <w:sz w:val="22"/>
          <w:szCs w:val="22"/>
          <w:lang w:val="en-GB"/>
        </w:rPr>
        <w:t>Fundamental care practices have been reinforced</w:t>
      </w:r>
    </w:p>
    <w:p w14:paraId="720DD1FF" w14:textId="77777777" w:rsidR="008F35B9" w:rsidRPr="008F35B9" w:rsidRDefault="008F35B9" w:rsidP="008F35B9">
      <w:pPr>
        <w:spacing w:after="120"/>
        <w:jc w:val="both"/>
        <w:rPr>
          <w:rFonts w:ascii="Arial" w:hAnsi="Arial" w:cs="Arial"/>
          <w:sz w:val="22"/>
          <w:szCs w:val="22"/>
          <w:lang w:val="en-GB"/>
        </w:rPr>
      </w:pPr>
    </w:p>
    <w:p w14:paraId="42516AD0" w14:textId="5B11649A" w:rsidR="008F35B9" w:rsidRPr="00B43BE5" w:rsidRDefault="008F35B9" w:rsidP="008F35B9">
      <w:pPr>
        <w:spacing w:after="120"/>
        <w:jc w:val="both"/>
        <w:rPr>
          <w:rFonts w:ascii="Arial" w:hAnsi="Arial" w:cs="Arial"/>
          <w:b/>
          <w:bCs/>
          <w:sz w:val="22"/>
          <w:szCs w:val="22"/>
          <w:u w:val="single"/>
          <w:lang w:val="en-GB"/>
        </w:rPr>
      </w:pPr>
      <w:r w:rsidRPr="00B43BE5">
        <w:rPr>
          <w:rFonts w:ascii="Arial" w:hAnsi="Arial" w:cs="Arial"/>
          <w:b/>
          <w:bCs/>
          <w:sz w:val="22"/>
          <w:szCs w:val="22"/>
          <w:u w:val="single"/>
          <w:lang w:val="en-GB"/>
        </w:rPr>
        <w:t>10.2 Maternity</w:t>
      </w:r>
    </w:p>
    <w:p w14:paraId="12AC3DD7" w14:textId="77777777" w:rsidR="00B43BE5" w:rsidRDefault="00B43BE5" w:rsidP="008F35B9">
      <w:pPr>
        <w:spacing w:after="120"/>
        <w:jc w:val="both"/>
        <w:rPr>
          <w:rFonts w:ascii="Arial" w:hAnsi="Arial" w:cs="Arial"/>
          <w:b/>
          <w:sz w:val="22"/>
          <w:szCs w:val="22"/>
          <w:lang w:val="en-GB"/>
        </w:rPr>
      </w:pPr>
    </w:p>
    <w:p w14:paraId="24991433" w14:textId="1FA8B435" w:rsidR="00E36F1E" w:rsidRDefault="00FE6128" w:rsidP="00E36F1E">
      <w:pPr>
        <w:spacing w:after="120"/>
        <w:jc w:val="both"/>
        <w:rPr>
          <w:rFonts w:ascii="Arial" w:hAnsi="Arial" w:cs="Arial"/>
          <w:bCs/>
          <w:sz w:val="22"/>
          <w:szCs w:val="22"/>
          <w:lang w:val="en-GB"/>
        </w:rPr>
      </w:pPr>
      <w:r w:rsidRPr="00AF42B1">
        <w:rPr>
          <w:rFonts w:ascii="Arial" w:hAnsi="Arial" w:cs="Arial"/>
          <w:b/>
          <w:sz w:val="22"/>
          <w:szCs w:val="22"/>
          <w:lang w:val="en-GB"/>
        </w:rPr>
        <w:t xml:space="preserve">Figure 7 </w:t>
      </w:r>
      <w:r w:rsidRPr="00AF42B1">
        <w:rPr>
          <w:rFonts w:ascii="Arial" w:hAnsi="Arial" w:cs="Arial"/>
          <w:bCs/>
          <w:sz w:val="22"/>
          <w:szCs w:val="22"/>
          <w:lang w:val="en-GB"/>
        </w:rPr>
        <w:t xml:space="preserve">represents a thematic analysis of Complaints received by the </w:t>
      </w:r>
      <w:r w:rsidRPr="008F35B9">
        <w:rPr>
          <w:rFonts w:ascii="Arial" w:hAnsi="Arial" w:cs="Arial"/>
          <w:b/>
          <w:i/>
          <w:iCs/>
          <w:sz w:val="22"/>
          <w:szCs w:val="22"/>
          <w:lang w:val="en-GB"/>
        </w:rPr>
        <w:t>Maternity</w:t>
      </w:r>
      <w:r w:rsidRPr="00AF42B1">
        <w:rPr>
          <w:rFonts w:ascii="Arial" w:hAnsi="Arial" w:cs="Arial"/>
          <w:bCs/>
          <w:sz w:val="22"/>
          <w:szCs w:val="22"/>
          <w:lang w:val="en-GB"/>
        </w:rPr>
        <w:t xml:space="preserve"> team.  This demonstrates that the</w:t>
      </w:r>
      <w:r w:rsidR="00AF42B1" w:rsidRPr="00AF42B1">
        <w:rPr>
          <w:rFonts w:ascii="Arial" w:hAnsi="Arial" w:cs="Arial"/>
          <w:bCs/>
          <w:sz w:val="22"/>
          <w:szCs w:val="22"/>
          <w:lang w:val="en-GB"/>
        </w:rPr>
        <w:t xml:space="preserve"> most commonly cited concerns in maternity relate to communication, clinical treatment and staff attitude during the provision of intra-partum care.</w:t>
      </w:r>
    </w:p>
    <w:p w14:paraId="1C9D1F4D" w14:textId="5F0BC17C" w:rsidR="00AF42B1" w:rsidRPr="00AF42B1" w:rsidRDefault="00AF42B1" w:rsidP="008F758B">
      <w:pPr>
        <w:spacing w:after="120"/>
        <w:rPr>
          <w:rFonts w:ascii="Arial" w:hAnsi="Arial" w:cs="Arial"/>
          <w:b/>
          <w:sz w:val="22"/>
          <w:szCs w:val="22"/>
          <w:highlight w:val="yellow"/>
          <w:u w:val="single"/>
          <w:lang w:val="en-GB"/>
        </w:rPr>
      </w:pPr>
      <w:r w:rsidRPr="00AF42B1">
        <w:rPr>
          <w:rFonts w:ascii="Arial" w:hAnsi="Arial" w:cs="Arial"/>
          <w:b/>
          <w:sz w:val="22"/>
          <w:szCs w:val="22"/>
          <w:u w:val="single"/>
          <w:lang w:val="en-GB"/>
        </w:rPr>
        <w:t>Figure 7</w:t>
      </w:r>
    </w:p>
    <w:p w14:paraId="11F30575" w14:textId="027861E7" w:rsidR="00FE6128" w:rsidRDefault="00AF42B1" w:rsidP="008F35B9">
      <w:pPr>
        <w:spacing w:after="120"/>
        <w:jc w:val="center"/>
        <w:rPr>
          <w:rFonts w:ascii="Arial" w:hAnsi="Arial" w:cs="Arial"/>
          <w:b/>
          <w:sz w:val="22"/>
          <w:szCs w:val="22"/>
          <w:highlight w:val="yellow"/>
          <w:lang w:val="en-GB"/>
        </w:rPr>
      </w:pPr>
      <w:r>
        <w:rPr>
          <w:rFonts w:ascii="Arial" w:hAnsi="Arial" w:cs="Arial"/>
          <w:b/>
          <w:noProof/>
          <w:sz w:val="22"/>
          <w:szCs w:val="22"/>
          <w:highlight w:val="yellow"/>
          <w:lang w:val="en-GB"/>
        </w:rPr>
        <w:drawing>
          <wp:inline distT="0" distB="0" distL="0" distR="0" wp14:anchorId="0780673F" wp14:editId="5DC78C52">
            <wp:extent cx="4777740" cy="2197100"/>
            <wp:effectExtent l="0" t="0" r="3810" b="0"/>
            <wp:docPr id="1933144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38826" cy="2225191"/>
                    </a:xfrm>
                    <a:prstGeom prst="rect">
                      <a:avLst/>
                    </a:prstGeom>
                    <a:noFill/>
                  </pic:spPr>
                </pic:pic>
              </a:graphicData>
            </a:graphic>
          </wp:inline>
        </w:drawing>
      </w:r>
    </w:p>
    <w:p w14:paraId="0CD8D047" w14:textId="77777777" w:rsidR="008F35B9" w:rsidRDefault="008F35B9" w:rsidP="008F758B">
      <w:pPr>
        <w:spacing w:after="120"/>
        <w:rPr>
          <w:rFonts w:ascii="Arial" w:hAnsi="Arial" w:cs="Arial"/>
          <w:bCs/>
          <w:sz w:val="22"/>
          <w:szCs w:val="22"/>
          <w:lang w:val="en-GB"/>
        </w:rPr>
      </w:pPr>
      <w:bookmarkStart w:id="8" w:name="_Hlk207043730"/>
    </w:p>
    <w:p w14:paraId="779688E6" w14:textId="2C4FB5B5" w:rsidR="00AF42B1" w:rsidRDefault="00AF42B1" w:rsidP="008F758B">
      <w:pPr>
        <w:spacing w:after="120"/>
        <w:rPr>
          <w:rFonts w:ascii="Arial" w:hAnsi="Arial" w:cs="Arial"/>
          <w:bCs/>
          <w:sz w:val="22"/>
          <w:szCs w:val="22"/>
          <w:lang w:val="en-GB"/>
        </w:rPr>
      </w:pPr>
      <w:r w:rsidRPr="008F35B9">
        <w:rPr>
          <w:rFonts w:ascii="Arial" w:hAnsi="Arial" w:cs="Arial"/>
          <w:bCs/>
          <w:sz w:val="22"/>
          <w:szCs w:val="22"/>
          <w:lang w:val="en-GB"/>
        </w:rPr>
        <w:t>Building on a number of improvement initiatives described in the 202</w:t>
      </w:r>
      <w:r w:rsidR="000D40E2">
        <w:rPr>
          <w:rFonts w:ascii="Arial" w:hAnsi="Arial" w:cs="Arial"/>
          <w:bCs/>
          <w:sz w:val="22"/>
          <w:szCs w:val="22"/>
          <w:lang w:val="en-GB"/>
        </w:rPr>
        <w:t>3</w:t>
      </w:r>
      <w:r w:rsidRPr="008F35B9">
        <w:rPr>
          <w:rFonts w:ascii="Arial" w:hAnsi="Arial" w:cs="Arial"/>
          <w:bCs/>
          <w:sz w:val="22"/>
          <w:szCs w:val="22"/>
          <w:lang w:val="en-GB"/>
        </w:rPr>
        <w:t>/202</w:t>
      </w:r>
      <w:r w:rsidR="000D40E2">
        <w:rPr>
          <w:rFonts w:ascii="Arial" w:hAnsi="Arial" w:cs="Arial"/>
          <w:bCs/>
          <w:sz w:val="22"/>
          <w:szCs w:val="22"/>
          <w:lang w:val="en-GB"/>
        </w:rPr>
        <w:t>4</w:t>
      </w:r>
      <w:r w:rsidRPr="008F35B9">
        <w:rPr>
          <w:rFonts w:ascii="Arial" w:hAnsi="Arial" w:cs="Arial"/>
          <w:bCs/>
          <w:sz w:val="22"/>
          <w:szCs w:val="22"/>
          <w:lang w:val="en-GB"/>
        </w:rPr>
        <w:t xml:space="preserve"> annual report, the Maternity Service have initiated:</w:t>
      </w:r>
    </w:p>
    <w:p w14:paraId="7D7222D6" w14:textId="77777777" w:rsidR="00EE1E12" w:rsidRDefault="00EE1E12" w:rsidP="00EE1E12">
      <w:pPr>
        <w:spacing w:after="120"/>
        <w:rPr>
          <w:rFonts w:ascii="Arial" w:hAnsi="Arial" w:cs="Arial"/>
          <w:bCs/>
          <w:sz w:val="22"/>
          <w:szCs w:val="22"/>
          <w:lang w:val="en-GB"/>
        </w:rPr>
      </w:pPr>
    </w:p>
    <w:tbl>
      <w:tblPr>
        <w:tblW w:w="0" w:type="auto"/>
        <w:tblBorders>
          <w:top w:val="single" w:sz="6" w:space="0" w:color="E0E0E0"/>
          <w:left w:val="single" w:sz="6" w:space="0" w:color="E0E0E0"/>
          <w:bottom w:val="single" w:sz="6" w:space="0" w:color="E0E0E0"/>
          <w:right w:val="single" w:sz="6" w:space="0" w:color="E0E0E0"/>
        </w:tblBorders>
        <w:shd w:val="clear" w:color="auto" w:fill="FFFFFF"/>
        <w:tblCellMar>
          <w:top w:w="15" w:type="dxa"/>
          <w:left w:w="15" w:type="dxa"/>
          <w:bottom w:w="15" w:type="dxa"/>
          <w:right w:w="15" w:type="dxa"/>
        </w:tblCellMar>
        <w:tblLook w:val="04A0" w:firstRow="1" w:lastRow="0" w:firstColumn="1" w:lastColumn="0" w:noHBand="0" w:noVBand="1"/>
      </w:tblPr>
      <w:tblGrid>
        <w:gridCol w:w="3239"/>
        <w:gridCol w:w="6383"/>
      </w:tblGrid>
      <w:tr w:rsidR="00EE1E12" w:rsidRPr="006F2954" w14:paraId="7634AD87" w14:textId="77777777" w:rsidTr="009759FA">
        <w:trPr>
          <w:tblHeader/>
        </w:trPr>
        <w:tc>
          <w:tcPr>
            <w:tcW w:w="0" w:type="auto"/>
            <w:shd w:val="clear" w:color="auto" w:fill="F5F5F5"/>
            <w:tcMar>
              <w:top w:w="15" w:type="dxa"/>
              <w:left w:w="75" w:type="dxa"/>
              <w:bottom w:w="15" w:type="dxa"/>
              <w:right w:w="75" w:type="dxa"/>
            </w:tcMar>
            <w:vAlign w:val="center"/>
            <w:hideMark/>
          </w:tcPr>
          <w:p w14:paraId="1EAF5EC2" w14:textId="77777777" w:rsidR="00EE1E12" w:rsidRDefault="00EE1E12" w:rsidP="009759FA">
            <w:pPr>
              <w:jc w:val="center"/>
              <w:rPr>
                <w:rFonts w:ascii="Segoe UI" w:eastAsia="Times New Roman" w:hAnsi="Segoe UI" w:cs="Segoe UI"/>
                <w:b/>
                <w:bCs/>
                <w:color w:val="242424"/>
                <w:sz w:val="21"/>
                <w:szCs w:val="21"/>
                <w:lang w:val="en-GB" w:eastAsia="en-GB"/>
              </w:rPr>
            </w:pPr>
            <w:r>
              <w:rPr>
                <w:rFonts w:ascii="Segoe UI" w:eastAsia="Times New Roman" w:hAnsi="Segoe UI" w:cs="Segoe UI"/>
                <w:b/>
                <w:bCs/>
                <w:color w:val="242424"/>
                <w:sz w:val="21"/>
                <w:szCs w:val="21"/>
                <w:lang w:val="en-GB" w:eastAsia="en-GB"/>
              </w:rPr>
              <w:t>I</w:t>
            </w:r>
            <w:r w:rsidRPr="006F2954">
              <w:rPr>
                <w:rFonts w:ascii="Segoe UI" w:eastAsia="Times New Roman" w:hAnsi="Segoe UI" w:cs="Segoe UI"/>
                <w:b/>
                <w:bCs/>
                <w:color w:val="242424"/>
                <w:sz w:val="21"/>
                <w:szCs w:val="21"/>
                <w:lang w:val="en-GB" w:eastAsia="en-GB"/>
              </w:rPr>
              <w:t>mprovement</w:t>
            </w:r>
          </w:p>
          <w:p w14:paraId="48D30B6C" w14:textId="77777777" w:rsidR="00EE1E12" w:rsidRPr="006F2954" w:rsidRDefault="00EE1E12" w:rsidP="009759FA">
            <w:pPr>
              <w:jc w:val="center"/>
              <w:rPr>
                <w:rFonts w:ascii="Segoe UI" w:eastAsia="Times New Roman" w:hAnsi="Segoe UI" w:cs="Segoe UI"/>
                <w:b/>
                <w:bCs/>
                <w:color w:val="242424"/>
                <w:sz w:val="21"/>
                <w:szCs w:val="21"/>
                <w:lang w:val="en-GB" w:eastAsia="en-GB"/>
              </w:rPr>
            </w:pPr>
          </w:p>
        </w:tc>
        <w:tc>
          <w:tcPr>
            <w:tcW w:w="0" w:type="auto"/>
            <w:shd w:val="clear" w:color="auto" w:fill="F5F5F5"/>
            <w:tcMar>
              <w:top w:w="15" w:type="dxa"/>
              <w:left w:w="75" w:type="dxa"/>
              <w:bottom w:w="15" w:type="dxa"/>
              <w:right w:w="75" w:type="dxa"/>
            </w:tcMar>
            <w:vAlign w:val="center"/>
            <w:hideMark/>
          </w:tcPr>
          <w:p w14:paraId="636A0AFE" w14:textId="77777777" w:rsidR="00EE1E12" w:rsidRPr="006F2954" w:rsidRDefault="00EE1E12" w:rsidP="009759FA">
            <w:pPr>
              <w:jc w:val="center"/>
              <w:rPr>
                <w:rFonts w:ascii="Segoe UI" w:eastAsia="Times New Roman" w:hAnsi="Segoe UI" w:cs="Segoe UI"/>
                <w:b/>
                <w:bCs/>
                <w:color w:val="242424"/>
                <w:sz w:val="21"/>
                <w:szCs w:val="21"/>
                <w:lang w:val="en-GB" w:eastAsia="en-GB"/>
              </w:rPr>
            </w:pPr>
            <w:r w:rsidRPr="006F2954">
              <w:rPr>
                <w:rFonts w:ascii="Segoe UI" w:eastAsia="Times New Roman" w:hAnsi="Segoe UI" w:cs="Segoe UI"/>
                <w:b/>
                <w:bCs/>
                <w:color w:val="242424"/>
                <w:sz w:val="21"/>
                <w:szCs w:val="21"/>
                <w:lang w:val="en-GB" w:eastAsia="en-GB"/>
              </w:rPr>
              <w:t>Description</w:t>
            </w:r>
          </w:p>
        </w:tc>
      </w:tr>
      <w:tr w:rsidR="00EE1E12" w:rsidRPr="006F2954" w14:paraId="49855A9A" w14:textId="77777777" w:rsidTr="009759FA">
        <w:tc>
          <w:tcPr>
            <w:tcW w:w="0" w:type="auto"/>
            <w:tcBorders>
              <w:bottom w:val="single" w:sz="6" w:space="0" w:color="D6D6D6"/>
            </w:tcBorders>
            <w:shd w:val="clear" w:color="auto" w:fill="FFFFFF"/>
            <w:tcMar>
              <w:top w:w="15" w:type="dxa"/>
              <w:left w:w="75" w:type="dxa"/>
              <w:bottom w:w="15" w:type="dxa"/>
              <w:right w:w="75" w:type="dxa"/>
            </w:tcMar>
            <w:vAlign w:val="center"/>
            <w:hideMark/>
          </w:tcPr>
          <w:p w14:paraId="5DF20C87" w14:textId="77777777" w:rsidR="00EE1E12" w:rsidRPr="006F2954" w:rsidRDefault="00EE1E12" w:rsidP="009759FA">
            <w:pPr>
              <w:rPr>
                <w:rFonts w:ascii="Segoe UI" w:eastAsia="Times New Roman" w:hAnsi="Segoe UI" w:cs="Segoe UI"/>
                <w:color w:val="242424"/>
                <w:sz w:val="21"/>
                <w:szCs w:val="21"/>
                <w:lang w:val="en-GB" w:eastAsia="en-GB"/>
              </w:rPr>
            </w:pPr>
            <w:r w:rsidRPr="006F2954">
              <w:rPr>
                <w:rFonts w:ascii="Segoe UI" w:eastAsia="Times New Roman" w:hAnsi="Segoe UI" w:cs="Segoe UI"/>
                <w:b/>
                <w:bCs/>
                <w:color w:val="242424"/>
                <w:sz w:val="21"/>
                <w:szCs w:val="21"/>
                <w:lang w:val="en-GB" w:eastAsia="en-GB"/>
              </w:rPr>
              <w:t>Induction of Labour Pathway Review</w:t>
            </w:r>
          </w:p>
        </w:tc>
        <w:tc>
          <w:tcPr>
            <w:tcW w:w="0" w:type="auto"/>
            <w:tcBorders>
              <w:bottom w:val="single" w:sz="6" w:space="0" w:color="D6D6D6"/>
            </w:tcBorders>
            <w:shd w:val="clear" w:color="auto" w:fill="FFFFFF"/>
            <w:tcMar>
              <w:top w:w="15" w:type="dxa"/>
              <w:left w:w="75" w:type="dxa"/>
              <w:bottom w:w="15" w:type="dxa"/>
              <w:right w:w="75" w:type="dxa"/>
            </w:tcMar>
            <w:vAlign w:val="center"/>
            <w:hideMark/>
          </w:tcPr>
          <w:p w14:paraId="29D773E1" w14:textId="77777777" w:rsidR="00EE1E12" w:rsidRPr="006F2954" w:rsidRDefault="00EE1E12" w:rsidP="009759FA">
            <w:pPr>
              <w:rPr>
                <w:rFonts w:ascii="Segoe UI" w:eastAsia="Times New Roman" w:hAnsi="Segoe UI" w:cs="Segoe UI"/>
                <w:color w:val="242424"/>
                <w:sz w:val="21"/>
                <w:szCs w:val="21"/>
                <w:lang w:val="en-GB" w:eastAsia="en-GB"/>
              </w:rPr>
            </w:pPr>
            <w:r w:rsidRPr="006F2954">
              <w:rPr>
                <w:rFonts w:ascii="Segoe UI" w:eastAsia="Times New Roman" w:hAnsi="Segoe UI" w:cs="Segoe UI"/>
                <w:color w:val="242424"/>
                <w:sz w:val="21"/>
                <w:szCs w:val="21"/>
                <w:lang w:val="en-GB" w:eastAsia="en-GB"/>
              </w:rPr>
              <w:t>Structured review to reduce delays and improve communication during induction</w:t>
            </w:r>
            <w:r>
              <w:rPr>
                <w:rFonts w:ascii="Segoe UI" w:eastAsia="Times New Roman" w:hAnsi="Segoe UI" w:cs="Segoe UI"/>
                <w:color w:val="242424"/>
                <w:sz w:val="21"/>
                <w:szCs w:val="21"/>
                <w:lang w:val="en-GB" w:eastAsia="en-GB"/>
              </w:rPr>
              <w:t>,</w:t>
            </w:r>
            <w:r w:rsidRPr="006F2954">
              <w:rPr>
                <w:rFonts w:ascii="Segoe UI" w:eastAsia="Times New Roman" w:hAnsi="Segoe UI" w:cs="Segoe UI"/>
                <w:color w:val="242424"/>
                <w:sz w:val="21"/>
                <w:szCs w:val="21"/>
                <w:lang w:val="en-GB" w:eastAsia="en-GB"/>
              </w:rPr>
              <w:t> Twice-daily huddles</w:t>
            </w:r>
            <w:r>
              <w:rPr>
                <w:rFonts w:ascii="Segoe UI" w:eastAsia="Times New Roman" w:hAnsi="Segoe UI" w:cs="Segoe UI"/>
                <w:color w:val="242424"/>
                <w:sz w:val="21"/>
                <w:szCs w:val="21"/>
                <w:lang w:val="en-GB" w:eastAsia="en-GB"/>
              </w:rPr>
              <w:t>,</w:t>
            </w:r>
            <w:r>
              <w:t xml:space="preserve"> </w:t>
            </w:r>
            <w:r w:rsidRPr="006F2954">
              <w:rPr>
                <w:rFonts w:ascii="Segoe UI" w:eastAsia="Times New Roman" w:hAnsi="Segoe UI" w:cs="Segoe UI"/>
                <w:color w:val="242424"/>
                <w:sz w:val="21"/>
                <w:szCs w:val="21"/>
                <w:lang w:val="en-GB" w:eastAsia="en-GB"/>
              </w:rPr>
              <w:t>Bespoke triage training</w:t>
            </w:r>
          </w:p>
        </w:tc>
      </w:tr>
      <w:tr w:rsidR="00EE1E12" w:rsidRPr="006F2954" w14:paraId="3E040BF7" w14:textId="77777777" w:rsidTr="009759FA">
        <w:tc>
          <w:tcPr>
            <w:tcW w:w="0" w:type="auto"/>
            <w:tcBorders>
              <w:bottom w:val="single" w:sz="6" w:space="0" w:color="D6D6D6"/>
            </w:tcBorders>
            <w:shd w:val="clear" w:color="auto" w:fill="FFFFFF"/>
            <w:tcMar>
              <w:top w:w="15" w:type="dxa"/>
              <w:left w:w="75" w:type="dxa"/>
              <w:bottom w:w="15" w:type="dxa"/>
              <w:right w:w="75" w:type="dxa"/>
            </w:tcMar>
            <w:vAlign w:val="center"/>
            <w:hideMark/>
          </w:tcPr>
          <w:p w14:paraId="1BF193F3" w14:textId="77777777" w:rsidR="00EE1E12" w:rsidRPr="006F2954" w:rsidRDefault="00EE1E12" w:rsidP="009759FA">
            <w:pPr>
              <w:rPr>
                <w:rFonts w:ascii="Segoe UI" w:eastAsia="Times New Roman" w:hAnsi="Segoe UI" w:cs="Segoe UI"/>
                <w:color w:val="242424"/>
                <w:sz w:val="21"/>
                <w:szCs w:val="21"/>
                <w:lang w:val="en-GB" w:eastAsia="en-GB"/>
              </w:rPr>
            </w:pPr>
            <w:r w:rsidRPr="006F2954">
              <w:rPr>
                <w:rFonts w:ascii="Segoe UI" w:eastAsia="Times New Roman" w:hAnsi="Segoe UI" w:cs="Segoe UI"/>
                <w:b/>
                <w:bCs/>
                <w:color w:val="242424"/>
                <w:sz w:val="21"/>
                <w:szCs w:val="21"/>
                <w:lang w:val="en-GB" w:eastAsia="en-GB"/>
              </w:rPr>
              <w:t>Discharge Communication Improvements</w:t>
            </w:r>
          </w:p>
        </w:tc>
        <w:tc>
          <w:tcPr>
            <w:tcW w:w="0" w:type="auto"/>
            <w:tcBorders>
              <w:bottom w:val="single" w:sz="6" w:space="0" w:color="D6D6D6"/>
            </w:tcBorders>
            <w:shd w:val="clear" w:color="auto" w:fill="FFFFFF"/>
            <w:tcMar>
              <w:top w:w="15" w:type="dxa"/>
              <w:left w:w="75" w:type="dxa"/>
              <w:bottom w:w="15" w:type="dxa"/>
              <w:right w:w="75" w:type="dxa"/>
            </w:tcMar>
            <w:vAlign w:val="center"/>
            <w:hideMark/>
          </w:tcPr>
          <w:p w14:paraId="1DC58821" w14:textId="77777777" w:rsidR="00EE1E12" w:rsidRPr="006F2954" w:rsidRDefault="00EE1E12" w:rsidP="009759FA">
            <w:pPr>
              <w:rPr>
                <w:rFonts w:ascii="Segoe UI" w:eastAsia="Times New Roman" w:hAnsi="Segoe UI" w:cs="Segoe UI"/>
                <w:color w:val="242424"/>
                <w:sz w:val="21"/>
                <w:szCs w:val="21"/>
                <w:lang w:val="en-GB" w:eastAsia="en-GB"/>
              </w:rPr>
            </w:pPr>
            <w:r w:rsidRPr="006F2954">
              <w:rPr>
                <w:rFonts w:ascii="Segoe UI" w:eastAsia="Times New Roman" w:hAnsi="Segoe UI" w:cs="Segoe UI"/>
                <w:color w:val="242424"/>
                <w:sz w:val="21"/>
                <w:szCs w:val="21"/>
                <w:lang w:val="en-GB" w:eastAsia="en-GB"/>
              </w:rPr>
              <w:t>Staff reminded to clearly explain next steps post-scan or ward transfer </w:t>
            </w:r>
          </w:p>
        </w:tc>
      </w:tr>
      <w:tr w:rsidR="00EE1E12" w:rsidRPr="006F2954" w14:paraId="21E532DF" w14:textId="77777777" w:rsidTr="009759FA">
        <w:tc>
          <w:tcPr>
            <w:tcW w:w="0" w:type="auto"/>
            <w:tcBorders>
              <w:bottom w:val="single" w:sz="6" w:space="0" w:color="D6D6D6"/>
            </w:tcBorders>
            <w:shd w:val="clear" w:color="auto" w:fill="FFFFFF"/>
            <w:tcMar>
              <w:top w:w="15" w:type="dxa"/>
              <w:left w:w="75" w:type="dxa"/>
              <w:bottom w:w="15" w:type="dxa"/>
              <w:right w:w="75" w:type="dxa"/>
            </w:tcMar>
            <w:vAlign w:val="center"/>
            <w:hideMark/>
          </w:tcPr>
          <w:p w14:paraId="3C4BE27D" w14:textId="77777777" w:rsidR="00EE1E12" w:rsidRPr="006F2954" w:rsidRDefault="00EE1E12" w:rsidP="009759FA">
            <w:pPr>
              <w:rPr>
                <w:rFonts w:ascii="Segoe UI" w:eastAsia="Times New Roman" w:hAnsi="Segoe UI" w:cs="Segoe UI"/>
                <w:color w:val="242424"/>
                <w:sz w:val="21"/>
                <w:szCs w:val="21"/>
                <w:lang w:val="en-GB" w:eastAsia="en-GB"/>
              </w:rPr>
            </w:pPr>
            <w:r w:rsidRPr="006F2954">
              <w:rPr>
                <w:rFonts w:ascii="Segoe UI" w:eastAsia="Times New Roman" w:hAnsi="Segoe UI" w:cs="Segoe UI"/>
                <w:b/>
                <w:bCs/>
                <w:color w:val="242424"/>
                <w:sz w:val="21"/>
                <w:szCs w:val="21"/>
                <w:lang w:val="en-GB" w:eastAsia="en-GB"/>
              </w:rPr>
              <w:t>Autism Support</w:t>
            </w:r>
          </w:p>
        </w:tc>
        <w:tc>
          <w:tcPr>
            <w:tcW w:w="0" w:type="auto"/>
            <w:tcBorders>
              <w:bottom w:val="single" w:sz="6" w:space="0" w:color="D6D6D6"/>
            </w:tcBorders>
            <w:shd w:val="clear" w:color="auto" w:fill="FFFFFF"/>
            <w:tcMar>
              <w:top w:w="15" w:type="dxa"/>
              <w:left w:w="75" w:type="dxa"/>
              <w:bottom w:w="15" w:type="dxa"/>
              <w:right w:w="75" w:type="dxa"/>
            </w:tcMar>
            <w:vAlign w:val="center"/>
            <w:hideMark/>
          </w:tcPr>
          <w:p w14:paraId="463CB47E" w14:textId="77777777" w:rsidR="00EE1E12" w:rsidRPr="006F2954" w:rsidRDefault="00EE1E12" w:rsidP="009759FA">
            <w:pPr>
              <w:rPr>
                <w:rFonts w:ascii="Segoe UI" w:eastAsia="Times New Roman" w:hAnsi="Segoe UI" w:cs="Segoe UI"/>
                <w:color w:val="242424"/>
                <w:sz w:val="21"/>
                <w:szCs w:val="21"/>
                <w:lang w:val="en-GB" w:eastAsia="en-GB"/>
              </w:rPr>
            </w:pPr>
            <w:r w:rsidRPr="006F2954">
              <w:rPr>
                <w:rFonts w:ascii="Segoe UI" w:eastAsia="Times New Roman" w:hAnsi="Segoe UI" w:cs="Segoe UI"/>
                <w:color w:val="242424"/>
                <w:sz w:val="21"/>
                <w:szCs w:val="21"/>
                <w:lang w:val="en-GB" w:eastAsia="en-GB"/>
              </w:rPr>
              <w:t>Support offered from autism lead and unit tours to improve inclusive care </w:t>
            </w:r>
          </w:p>
        </w:tc>
      </w:tr>
      <w:tr w:rsidR="00EE1E12" w:rsidRPr="006F2954" w14:paraId="3A5D05EE" w14:textId="77777777" w:rsidTr="009759FA">
        <w:tc>
          <w:tcPr>
            <w:tcW w:w="0" w:type="auto"/>
            <w:tcBorders>
              <w:bottom w:val="single" w:sz="6" w:space="0" w:color="D6D6D6"/>
            </w:tcBorders>
            <w:shd w:val="clear" w:color="auto" w:fill="FFFFFF"/>
            <w:tcMar>
              <w:top w:w="15" w:type="dxa"/>
              <w:left w:w="75" w:type="dxa"/>
              <w:bottom w:w="15" w:type="dxa"/>
              <w:right w:w="75" w:type="dxa"/>
            </w:tcMar>
            <w:vAlign w:val="center"/>
            <w:hideMark/>
          </w:tcPr>
          <w:p w14:paraId="70DD5A78" w14:textId="77777777" w:rsidR="00EE1E12" w:rsidRPr="006F2954" w:rsidRDefault="00EE1E12" w:rsidP="009759FA">
            <w:pPr>
              <w:rPr>
                <w:rFonts w:ascii="Segoe UI" w:eastAsia="Times New Roman" w:hAnsi="Segoe UI" w:cs="Segoe UI"/>
                <w:color w:val="242424"/>
                <w:sz w:val="21"/>
                <w:szCs w:val="21"/>
                <w:lang w:val="en-GB" w:eastAsia="en-GB"/>
              </w:rPr>
            </w:pPr>
            <w:r w:rsidRPr="006F2954">
              <w:rPr>
                <w:rFonts w:ascii="Segoe UI" w:eastAsia="Times New Roman" w:hAnsi="Segoe UI" w:cs="Segoe UI"/>
                <w:b/>
                <w:bCs/>
                <w:color w:val="242424"/>
                <w:sz w:val="21"/>
                <w:szCs w:val="21"/>
                <w:lang w:val="en-GB" w:eastAsia="en-GB"/>
              </w:rPr>
              <w:t>Staff Reflection and Learning Logs</w:t>
            </w:r>
          </w:p>
        </w:tc>
        <w:tc>
          <w:tcPr>
            <w:tcW w:w="0" w:type="auto"/>
            <w:tcBorders>
              <w:bottom w:val="single" w:sz="6" w:space="0" w:color="D6D6D6"/>
            </w:tcBorders>
            <w:shd w:val="clear" w:color="auto" w:fill="FFFFFF"/>
            <w:tcMar>
              <w:top w:w="15" w:type="dxa"/>
              <w:left w:w="75" w:type="dxa"/>
              <w:bottom w:w="15" w:type="dxa"/>
              <w:right w:w="75" w:type="dxa"/>
            </w:tcMar>
            <w:vAlign w:val="center"/>
            <w:hideMark/>
          </w:tcPr>
          <w:p w14:paraId="76E4960A" w14:textId="77777777" w:rsidR="00EE1E12" w:rsidRPr="006F2954" w:rsidRDefault="00EE1E12" w:rsidP="009759FA">
            <w:pPr>
              <w:rPr>
                <w:rFonts w:ascii="Segoe UI" w:eastAsia="Times New Roman" w:hAnsi="Segoe UI" w:cs="Segoe UI"/>
                <w:color w:val="242424"/>
                <w:sz w:val="21"/>
                <w:szCs w:val="21"/>
                <w:lang w:val="en-GB" w:eastAsia="en-GB"/>
              </w:rPr>
            </w:pPr>
            <w:r w:rsidRPr="006F2954">
              <w:rPr>
                <w:rFonts w:ascii="Segoe UI" w:eastAsia="Times New Roman" w:hAnsi="Segoe UI" w:cs="Segoe UI"/>
                <w:color w:val="242424"/>
                <w:sz w:val="21"/>
                <w:szCs w:val="21"/>
                <w:lang w:val="en-GB" w:eastAsia="en-GB"/>
              </w:rPr>
              <w:t>Encouraging reflective practice and sharing learning across teams </w:t>
            </w:r>
          </w:p>
        </w:tc>
      </w:tr>
      <w:tr w:rsidR="00EE1E12" w:rsidRPr="006F2954" w14:paraId="3227A092" w14:textId="77777777" w:rsidTr="009759FA">
        <w:tc>
          <w:tcPr>
            <w:tcW w:w="0" w:type="auto"/>
            <w:tcBorders>
              <w:bottom w:val="single" w:sz="6" w:space="0" w:color="D6D6D6"/>
            </w:tcBorders>
            <w:shd w:val="clear" w:color="auto" w:fill="FFFFFF"/>
            <w:tcMar>
              <w:top w:w="15" w:type="dxa"/>
              <w:left w:w="75" w:type="dxa"/>
              <w:bottom w:w="15" w:type="dxa"/>
              <w:right w:w="75" w:type="dxa"/>
            </w:tcMar>
            <w:vAlign w:val="center"/>
            <w:hideMark/>
          </w:tcPr>
          <w:p w14:paraId="1DB93E86" w14:textId="77777777" w:rsidR="00EE1E12" w:rsidRPr="006F2954" w:rsidRDefault="00EE1E12" w:rsidP="009759FA">
            <w:pPr>
              <w:rPr>
                <w:rFonts w:ascii="Segoe UI" w:eastAsia="Times New Roman" w:hAnsi="Segoe UI" w:cs="Segoe UI"/>
                <w:color w:val="242424"/>
                <w:sz w:val="21"/>
                <w:szCs w:val="21"/>
                <w:lang w:val="en-GB" w:eastAsia="en-GB"/>
              </w:rPr>
            </w:pPr>
            <w:r w:rsidRPr="006F2954">
              <w:rPr>
                <w:rFonts w:ascii="Segoe UI" w:eastAsia="Times New Roman" w:hAnsi="Segoe UI" w:cs="Segoe UI"/>
                <w:b/>
                <w:bCs/>
                <w:color w:val="242424"/>
                <w:sz w:val="21"/>
                <w:szCs w:val="21"/>
                <w:lang w:val="en-GB" w:eastAsia="en-GB"/>
              </w:rPr>
              <w:t>Radiology Reporting Timeliness</w:t>
            </w:r>
          </w:p>
        </w:tc>
        <w:tc>
          <w:tcPr>
            <w:tcW w:w="0" w:type="auto"/>
            <w:tcBorders>
              <w:bottom w:val="single" w:sz="6" w:space="0" w:color="D6D6D6"/>
            </w:tcBorders>
            <w:shd w:val="clear" w:color="auto" w:fill="FFFFFF"/>
            <w:tcMar>
              <w:top w:w="15" w:type="dxa"/>
              <w:left w:w="75" w:type="dxa"/>
              <w:bottom w:w="15" w:type="dxa"/>
              <w:right w:w="75" w:type="dxa"/>
            </w:tcMar>
            <w:vAlign w:val="center"/>
            <w:hideMark/>
          </w:tcPr>
          <w:p w14:paraId="66A063F5" w14:textId="77777777" w:rsidR="00EE1E12" w:rsidRPr="006F2954" w:rsidRDefault="00EE1E12" w:rsidP="009759FA">
            <w:pPr>
              <w:rPr>
                <w:rFonts w:ascii="Segoe UI" w:eastAsia="Times New Roman" w:hAnsi="Segoe UI" w:cs="Segoe UI"/>
                <w:color w:val="242424"/>
                <w:sz w:val="21"/>
                <w:szCs w:val="21"/>
                <w:lang w:val="en-GB" w:eastAsia="en-GB"/>
              </w:rPr>
            </w:pPr>
            <w:r w:rsidRPr="006F2954">
              <w:rPr>
                <w:rFonts w:ascii="Segoe UI" w:eastAsia="Times New Roman" w:hAnsi="Segoe UI" w:cs="Segoe UI"/>
                <w:color w:val="242424"/>
                <w:sz w:val="21"/>
                <w:szCs w:val="21"/>
                <w:lang w:val="en-GB" w:eastAsia="en-GB"/>
              </w:rPr>
              <w:t>Escalation with external radiology providers and internal review to address delays in newborn X-ray reporting </w:t>
            </w:r>
          </w:p>
        </w:tc>
      </w:tr>
      <w:tr w:rsidR="00EE1E12" w:rsidRPr="006F2954" w14:paraId="0A7B05BC" w14:textId="77777777" w:rsidTr="009759FA">
        <w:tc>
          <w:tcPr>
            <w:tcW w:w="0" w:type="auto"/>
            <w:tcBorders>
              <w:bottom w:val="single" w:sz="6" w:space="0" w:color="D6D6D6"/>
            </w:tcBorders>
            <w:shd w:val="clear" w:color="auto" w:fill="FFFFFF"/>
            <w:tcMar>
              <w:top w:w="15" w:type="dxa"/>
              <w:left w:w="75" w:type="dxa"/>
              <w:bottom w:w="15" w:type="dxa"/>
              <w:right w:w="75" w:type="dxa"/>
            </w:tcMar>
            <w:vAlign w:val="center"/>
            <w:hideMark/>
          </w:tcPr>
          <w:p w14:paraId="3547D077" w14:textId="77777777" w:rsidR="00EE1E12" w:rsidRPr="006F2954" w:rsidRDefault="00EE1E12" w:rsidP="009759FA">
            <w:pPr>
              <w:rPr>
                <w:rFonts w:ascii="Segoe UI" w:eastAsia="Times New Roman" w:hAnsi="Segoe UI" w:cs="Segoe UI"/>
                <w:color w:val="242424"/>
                <w:sz w:val="21"/>
                <w:szCs w:val="21"/>
                <w:lang w:val="en-GB" w:eastAsia="en-GB"/>
              </w:rPr>
            </w:pPr>
            <w:r w:rsidRPr="006F2954">
              <w:rPr>
                <w:rFonts w:ascii="Segoe UI" w:eastAsia="Times New Roman" w:hAnsi="Segoe UI" w:cs="Segoe UI"/>
                <w:b/>
                <w:bCs/>
                <w:color w:val="242424"/>
                <w:sz w:val="21"/>
                <w:szCs w:val="21"/>
                <w:lang w:val="en-GB" w:eastAsia="en-GB"/>
              </w:rPr>
              <w:t>SBAR Handover and Escalation Training</w:t>
            </w:r>
          </w:p>
        </w:tc>
        <w:tc>
          <w:tcPr>
            <w:tcW w:w="0" w:type="auto"/>
            <w:tcBorders>
              <w:bottom w:val="single" w:sz="6" w:space="0" w:color="D6D6D6"/>
            </w:tcBorders>
            <w:shd w:val="clear" w:color="auto" w:fill="FFFFFF"/>
            <w:tcMar>
              <w:top w:w="15" w:type="dxa"/>
              <w:left w:w="75" w:type="dxa"/>
              <w:bottom w:w="15" w:type="dxa"/>
              <w:right w:w="75" w:type="dxa"/>
            </w:tcMar>
            <w:vAlign w:val="center"/>
            <w:hideMark/>
          </w:tcPr>
          <w:p w14:paraId="1F152D64" w14:textId="77777777" w:rsidR="00EE1E12" w:rsidRPr="006F2954" w:rsidRDefault="00EE1E12" w:rsidP="009759FA">
            <w:pPr>
              <w:rPr>
                <w:rFonts w:ascii="Segoe UI" w:eastAsia="Times New Roman" w:hAnsi="Segoe UI" w:cs="Segoe UI"/>
                <w:color w:val="242424"/>
                <w:sz w:val="21"/>
                <w:szCs w:val="21"/>
                <w:lang w:val="en-GB" w:eastAsia="en-GB"/>
              </w:rPr>
            </w:pPr>
            <w:r w:rsidRPr="006F2954">
              <w:rPr>
                <w:rFonts w:ascii="Segoe UI" w:eastAsia="Times New Roman" w:hAnsi="Segoe UI" w:cs="Segoe UI"/>
                <w:color w:val="242424"/>
                <w:sz w:val="21"/>
                <w:szCs w:val="21"/>
                <w:lang w:val="en-GB" w:eastAsia="en-GB"/>
              </w:rPr>
              <w:t>Relaunched SBAR and RCOG 'Advice, Inform, Do' toolkit </w:t>
            </w:r>
          </w:p>
        </w:tc>
      </w:tr>
      <w:tr w:rsidR="00EE1E12" w:rsidRPr="006F2954" w14:paraId="0C067F50" w14:textId="77777777" w:rsidTr="009759FA">
        <w:tc>
          <w:tcPr>
            <w:tcW w:w="0" w:type="auto"/>
            <w:tcBorders>
              <w:bottom w:val="single" w:sz="6" w:space="0" w:color="D6D6D6"/>
            </w:tcBorders>
            <w:shd w:val="clear" w:color="auto" w:fill="FFFFFF"/>
            <w:tcMar>
              <w:top w:w="15" w:type="dxa"/>
              <w:left w:w="75" w:type="dxa"/>
              <w:bottom w:w="15" w:type="dxa"/>
              <w:right w:w="75" w:type="dxa"/>
            </w:tcMar>
            <w:vAlign w:val="center"/>
            <w:hideMark/>
          </w:tcPr>
          <w:p w14:paraId="2C97BDD0" w14:textId="77777777" w:rsidR="00EE1E12" w:rsidRPr="006F2954" w:rsidRDefault="00EE1E12" w:rsidP="009759FA">
            <w:pPr>
              <w:rPr>
                <w:rFonts w:ascii="Segoe UI" w:eastAsia="Times New Roman" w:hAnsi="Segoe UI" w:cs="Segoe UI"/>
                <w:color w:val="242424"/>
                <w:sz w:val="21"/>
                <w:szCs w:val="21"/>
                <w:lang w:val="en-GB" w:eastAsia="en-GB"/>
              </w:rPr>
            </w:pPr>
            <w:r w:rsidRPr="006F2954">
              <w:rPr>
                <w:rFonts w:ascii="Segoe UI" w:eastAsia="Times New Roman" w:hAnsi="Segoe UI" w:cs="Segoe UI"/>
                <w:b/>
                <w:bCs/>
                <w:color w:val="242424"/>
                <w:sz w:val="21"/>
                <w:szCs w:val="21"/>
                <w:lang w:val="en-GB" w:eastAsia="en-GB"/>
              </w:rPr>
              <w:t>Postpartum Haemorrhage (PPH) Risk Assessment</w:t>
            </w:r>
          </w:p>
        </w:tc>
        <w:tc>
          <w:tcPr>
            <w:tcW w:w="0" w:type="auto"/>
            <w:tcBorders>
              <w:bottom w:val="single" w:sz="6" w:space="0" w:color="D6D6D6"/>
            </w:tcBorders>
            <w:shd w:val="clear" w:color="auto" w:fill="FFFFFF"/>
            <w:tcMar>
              <w:top w:w="15" w:type="dxa"/>
              <w:left w:w="75" w:type="dxa"/>
              <w:bottom w:w="15" w:type="dxa"/>
              <w:right w:w="75" w:type="dxa"/>
            </w:tcMar>
            <w:vAlign w:val="center"/>
            <w:hideMark/>
          </w:tcPr>
          <w:p w14:paraId="54599719" w14:textId="77777777" w:rsidR="00EE1E12" w:rsidRPr="006F2954" w:rsidRDefault="00EE1E12" w:rsidP="009759FA">
            <w:pPr>
              <w:rPr>
                <w:rFonts w:ascii="Segoe UI" w:eastAsia="Times New Roman" w:hAnsi="Segoe UI" w:cs="Segoe UI"/>
                <w:color w:val="242424"/>
                <w:sz w:val="21"/>
                <w:szCs w:val="21"/>
                <w:lang w:val="en-GB" w:eastAsia="en-GB"/>
              </w:rPr>
            </w:pPr>
            <w:r w:rsidRPr="006F2954">
              <w:rPr>
                <w:rFonts w:ascii="Segoe UI" w:eastAsia="Times New Roman" w:hAnsi="Segoe UI" w:cs="Segoe UI"/>
                <w:color w:val="242424"/>
                <w:sz w:val="21"/>
                <w:szCs w:val="21"/>
                <w:lang w:val="en-GB" w:eastAsia="en-GB"/>
              </w:rPr>
              <w:t>Booking, 36 weeks, and labour with weekly audits </w:t>
            </w:r>
          </w:p>
        </w:tc>
      </w:tr>
      <w:tr w:rsidR="00EE1E12" w:rsidRPr="006F2954" w14:paraId="2DB17E1B" w14:textId="77777777" w:rsidTr="009759FA">
        <w:tc>
          <w:tcPr>
            <w:tcW w:w="0" w:type="auto"/>
            <w:tcBorders>
              <w:bottom w:val="single" w:sz="6" w:space="0" w:color="D6D6D6"/>
            </w:tcBorders>
            <w:shd w:val="clear" w:color="auto" w:fill="FFFFFF"/>
            <w:tcMar>
              <w:top w:w="15" w:type="dxa"/>
              <w:left w:w="75" w:type="dxa"/>
              <w:bottom w:w="15" w:type="dxa"/>
              <w:right w:w="75" w:type="dxa"/>
            </w:tcMar>
            <w:vAlign w:val="center"/>
            <w:hideMark/>
          </w:tcPr>
          <w:p w14:paraId="704EE2BF" w14:textId="77777777" w:rsidR="00EE1E12" w:rsidRPr="006F2954" w:rsidRDefault="00EE1E12" w:rsidP="009759FA">
            <w:pPr>
              <w:rPr>
                <w:rFonts w:ascii="Segoe UI" w:eastAsia="Times New Roman" w:hAnsi="Segoe UI" w:cs="Segoe UI"/>
                <w:color w:val="242424"/>
                <w:sz w:val="21"/>
                <w:szCs w:val="21"/>
                <w:lang w:val="en-GB" w:eastAsia="en-GB"/>
              </w:rPr>
            </w:pPr>
            <w:proofErr w:type="spellStart"/>
            <w:r w:rsidRPr="006F2954">
              <w:rPr>
                <w:rFonts w:ascii="Segoe UI" w:eastAsia="Times New Roman" w:hAnsi="Segoe UI" w:cs="Segoe UI"/>
                <w:b/>
                <w:bCs/>
                <w:color w:val="242424"/>
                <w:sz w:val="21"/>
                <w:szCs w:val="21"/>
                <w:lang w:val="en-GB" w:eastAsia="en-GB"/>
              </w:rPr>
              <w:t>BadgerNet</w:t>
            </w:r>
            <w:proofErr w:type="spellEnd"/>
            <w:r w:rsidRPr="006F2954">
              <w:rPr>
                <w:rFonts w:ascii="Segoe UI" w:eastAsia="Times New Roman" w:hAnsi="Segoe UI" w:cs="Segoe UI"/>
                <w:b/>
                <w:bCs/>
                <w:color w:val="242424"/>
                <w:sz w:val="21"/>
                <w:szCs w:val="21"/>
                <w:lang w:val="en-GB" w:eastAsia="en-GB"/>
              </w:rPr>
              <w:t xml:space="preserve"> Documentation and Training</w:t>
            </w:r>
          </w:p>
        </w:tc>
        <w:tc>
          <w:tcPr>
            <w:tcW w:w="0" w:type="auto"/>
            <w:tcBorders>
              <w:bottom w:val="single" w:sz="6" w:space="0" w:color="D6D6D6"/>
            </w:tcBorders>
            <w:shd w:val="clear" w:color="auto" w:fill="FFFFFF"/>
            <w:tcMar>
              <w:top w:w="15" w:type="dxa"/>
              <w:left w:w="75" w:type="dxa"/>
              <w:bottom w:w="15" w:type="dxa"/>
              <w:right w:w="75" w:type="dxa"/>
            </w:tcMar>
            <w:vAlign w:val="center"/>
            <w:hideMark/>
          </w:tcPr>
          <w:p w14:paraId="1D5DAC8E" w14:textId="77777777" w:rsidR="00EE1E12" w:rsidRPr="006F2954" w:rsidRDefault="00EE1E12" w:rsidP="009759FA">
            <w:pPr>
              <w:rPr>
                <w:rFonts w:ascii="Segoe UI" w:eastAsia="Times New Roman" w:hAnsi="Segoe UI" w:cs="Segoe UI"/>
                <w:color w:val="242424"/>
                <w:sz w:val="21"/>
                <w:szCs w:val="21"/>
                <w:lang w:val="en-GB" w:eastAsia="en-GB"/>
              </w:rPr>
            </w:pPr>
            <w:r w:rsidRPr="006F2954">
              <w:rPr>
                <w:rFonts w:ascii="Segoe UI" w:eastAsia="Times New Roman" w:hAnsi="Segoe UI" w:cs="Segoe UI"/>
                <w:color w:val="242424"/>
                <w:sz w:val="21"/>
                <w:szCs w:val="21"/>
                <w:lang w:val="en-GB" w:eastAsia="en-GB"/>
              </w:rPr>
              <w:t>Masterclasses, e-learning, superusers </w:t>
            </w:r>
          </w:p>
        </w:tc>
      </w:tr>
      <w:tr w:rsidR="00EE1E12" w:rsidRPr="006F2954" w14:paraId="77DE81F8" w14:textId="77777777" w:rsidTr="009759FA">
        <w:tc>
          <w:tcPr>
            <w:tcW w:w="0" w:type="auto"/>
            <w:tcBorders>
              <w:bottom w:val="single" w:sz="6" w:space="0" w:color="D6D6D6"/>
            </w:tcBorders>
            <w:shd w:val="clear" w:color="auto" w:fill="FFFFFF"/>
            <w:tcMar>
              <w:top w:w="15" w:type="dxa"/>
              <w:left w:w="75" w:type="dxa"/>
              <w:bottom w:w="15" w:type="dxa"/>
              <w:right w:w="75" w:type="dxa"/>
            </w:tcMar>
            <w:vAlign w:val="center"/>
            <w:hideMark/>
          </w:tcPr>
          <w:p w14:paraId="0D3FA655" w14:textId="77777777" w:rsidR="00EE1E12" w:rsidRPr="006F2954" w:rsidRDefault="00EE1E12" w:rsidP="009759FA">
            <w:pPr>
              <w:rPr>
                <w:rFonts w:ascii="Segoe UI" w:eastAsia="Times New Roman" w:hAnsi="Segoe UI" w:cs="Segoe UI"/>
                <w:color w:val="242424"/>
                <w:sz w:val="21"/>
                <w:szCs w:val="21"/>
                <w:lang w:val="en-GB" w:eastAsia="en-GB"/>
              </w:rPr>
            </w:pPr>
            <w:r w:rsidRPr="006F2954">
              <w:rPr>
                <w:rFonts w:ascii="Segoe UI" w:eastAsia="Times New Roman" w:hAnsi="Segoe UI" w:cs="Segoe UI"/>
                <w:b/>
                <w:bCs/>
                <w:color w:val="242424"/>
                <w:sz w:val="21"/>
                <w:szCs w:val="21"/>
                <w:lang w:val="en-GB" w:eastAsia="en-GB"/>
              </w:rPr>
              <w:t>Infant Feeding and Tongue Tie Pathway</w:t>
            </w:r>
          </w:p>
        </w:tc>
        <w:tc>
          <w:tcPr>
            <w:tcW w:w="0" w:type="auto"/>
            <w:tcBorders>
              <w:bottom w:val="single" w:sz="6" w:space="0" w:color="D6D6D6"/>
            </w:tcBorders>
            <w:shd w:val="clear" w:color="auto" w:fill="FFFFFF"/>
            <w:tcMar>
              <w:top w:w="15" w:type="dxa"/>
              <w:left w:w="75" w:type="dxa"/>
              <w:bottom w:w="15" w:type="dxa"/>
              <w:right w:w="75" w:type="dxa"/>
            </w:tcMar>
            <w:vAlign w:val="center"/>
            <w:hideMark/>
          </w:tcPr>
          <w:p w14:paraId="5DDCBA28" w14:textId="77777777" w:rsidR="00EE1E12" w:rsidRPr="006F2954" w:rsidRDefault="00EE1E12" w:rsidP="009759FA">
            <w:pPr>
              <w:rPr>
                <w:rFonts w:ascii="Segoe UI" w:eastAsia="Times New Roman" w:hAnsi="Segoe UI" w:cs="Segoe UI"/>
                <w:color w:val="242424"/>
                <w:sz w:val="21"/>
                <w:szCs w:val="21"/>
                <w:lang w:val="en-GB" w:eastAsia="en-GB"/>
              </w:rPr>
            </w:pPr>
            <w:r w:rsidRPr="006F2954">
              <w:rPr>
                <w:rFonts w:ascii="Segoe UI" w:eastAsia="Times New Roman" w:hAnsi="Segoe UI" w:cs="Segoe UI"/>
                <w:color w:val="242424"/>
                <w:sz w:val="21"/>
                <w:szCs w:val="21"/>
                <w:lang w:val="en-GB" w:eastAsia="en-GB"/>
              </w:rPr>
              <w:t xml:space="preserve">Additional </w:t>
            </w:r>
            <w:proofErr w:type="spellStart"/>
            <w:r w:rsidRPr="006F2954">
              <w:rPr>
                <w:rFonts w:ascii="Segoe UI" w:eastAsia="Times New Roman" w:hAnsi="Segoe UI" w:cs="Segoe UI"/>
                <w:color w:val="242424"/>
                <w:sz w:val="21"/>
                <w:szCs w:val="21"/>
                <w:lang w:val="en-GB" w:eastAsia="en-GB"/>
              </w:rPr>
              <w:t>frenulotomy</w:t>
            </w:r>
            <w:proofErr w:type="spellEnd"/>
            <w:r w:rsidRPr="006F2954">
              <w:rPr>
                <w:rFonts w:ascii="Segoe UI" w:eastAsia="Times New Roman" w:hAnsi="Segoe UI" w:cs="Segoe UI"/>
                <w:color w:val="242424"/>
                <w:sz w:val="21"/>
                <w:szCs w:val="21"/>
                <w:lang w:val="en-GB" w:eastAsia="en-GB"/>
              </w:rPr>
              <w:t xml:space="preserve"> training and annual updates </w:t>
            </w:r>
          </w:p>
        </w:tc>
      </w:tr>
      <w:tr w:rsidR="00EE1E12" w:rsidRPr="006F2954" w14:paraId="1FD61733" w14:textId="77777777" w:rsidTr="009759FA">
        <w:tc>
          <w:tcPr>
            <w:tcW w:w="0" w:type="auto"/>
            <w:tcBorders>
              <w:bottom w:val="single" w:sz="6" w:space="0" w:color="D6D6D6"/>
            </w:tcBorders>
            <w:shd w:val="clear" w:color="auto" w:fill="FFFFFF"/>
            <w:tcMar>
              <w:top w:w="15" w:type="dxa"/>
              <w:left w:w="75" w:type="dxa"/>
              <w:bottom w:w="15" w:type="dxa"/>
              <w:right w:w="75" w:type="dxa"/>
            </w:tcMar>
            <w:vAlign w:val="center"/>
            <w:hideMark/>
          </w:tcPr>
          <w:p w14:paraId="2E2D0773" w14:textId="77777777" w:rsidR="00EE1E12" w:rsidRPr="006F2954" w:rsidRDefault="00EE1E12" w:rsidP="009759FA">
            <w:pPr>
              <w:rPr>
                <w:rFonts w:ascii="Segoe UI" w:eastAsia="Times New Roman" w:hAnsi="Segoe UI" w:cs="Segoe UI"/>
                <w:color w:val="242424"/>
                <w:sz w:val="21"/>
                <w:szCs w:val="21"/>
                <w:lang w:val="en-GB" w:eastAsia="en-GB"/>
              </w:rPr>
            </w:pPr>
            <w:r w:rsidRPr="006F2954">
              <w:rPr>
                <w:rFonts w:ascii="Segoe UI" w:eastAsia="Times New Roman" w:hAnsi="Segoe UI" w:cs="Segoe UI"/>
                <w:b/>
                <w:bCs/>
                <w:color w:val="242424"/>
                <w:sz w:val="21"/>
                <w:szCs w:val="21"/>
                <w:lang w:val="en-GB" w:eastAsia="en-GB"/>
              </w:rPr>
              <w:t>Communication Awareness Campaign</w:t>
            </w:r>
          </w:p>
        </w:tc>
        <w:tc>
          <w:tcPr>
            <w:tcW w:w="0" w:type="auto"/>
            <w:tcBorders>
              <w:bottom w:val="single" w:sz="6" w:space="0" w:color="D6D6D6"/>
            </w:tcBorders>
            <w:shd w:val="clear" w:color="auto" w:fill="FFFFFF"/>
            <w:tcMar>
              <w:top w:w="15" w:type="dxa"/>
              <w:left w:w="75" w:type="dxa"/>
              <w:bottom w:w="15" w:type="dxa"/>
              <w:right w:w="75" w:type="dxa"/>
            </w:tcMar>
            <w:vAlign w:val="center"/>
            <w:hideMark/>
          </w:tcPr>
          <w:p w14:paraId="1083801A" w14:textId="77777777" w:rsidR="00EE1E12" w:rsidRPr="006F2954" w:rsidRDefault="00EE1E12" w:rsidP="009759FA">
            <w:pPr>
              <w:rPr>
                <w:rFonts w:ascii="Segoe UI" w:eastAsia="Times New Roman" w:hAnsi="Segoe UI" w:cs="Segoe UI"/>
                <w:color w:val="242424"/>
                <w:sz w:val="21"/>
                <w:szCs w:val="21"/>
                <w:lang w:val="en-GB" w:eastAsia="en-GB"/>
              </w:rPr>
            </w:pPr>
            <w:r w:rsidRPr="006F2954">
              <w:rPr>
                <w:rFonts w:ascii="Segoe UI" w:eastAsia="Times New Roman" w:hAnsi="Segoe UI" w:cs="Segoe UI"/>
                <w:color w:val="242424"/>
                <w:sz w:val="21"/>
                <w:szCs w:val="21"/>
                <w:lang w:val="en-GB" w:eastAsia="en-GB"/>
              </w:rPr>
              <w:t>Awareness month and maternity advice line focus </w:t>
            </w:r>
          </w:p>
        </w:tc>
      </w:tr>
      <w:tr w:rsidR="00EE1E12" w:rsidRPr="006F2954" w14:paraId="077CE3B3" w14:textId="77777777" w:rsidTr="009759FA">
        <w:tc>
          <w:tcPr>
            <w:tcW w:w="0" w:type="auto"/>
            <w:tcBorders>
              <w:bottom w:val="single" w:sz="6" w:space="0" w:color="D6D6D6"/>
            </w:tcBorders>
            <w:shd w:val="clear" w:color="auto" w:fill="FFFFFF"/>
            <w:tcMar>
              <w:top w:w="15" w:type="dxa"/>
              <w:left w:w="75" w:type="dxa"/>
              <w:bottom w:w="15" w:type="dxa"/>
              <w:right w:w="75" w:type="dxa"/>
            </w:tcMar>
            <w:vAlign w:val="center"/>
            <w:hideMark/>
          </w:tcPr>
          <w:p w14:paraId="7344CA61" w14:textId="77777777" w:rsidR="00EE1E12" w:rsidRPr="006F2954" w:rsidRDefault="00EE1E12" w:rsidP="009759FA">
            <w:pPr>
              <w:rPr>
                <w:rFonts w:ascii="Segoe UI" w:eastAsia="Times New Roman" w:hAnsi="Segoe UI" w:cs="Segoe UI"/>
                <w:color w:val="242424"/>
                <w:sz w:val="21"/>
                <w:szCs w:val="21"/>
                <w:lang w:val="en-GB" w:eastAsia="en-GB"/>
              </w:rPr>
            </w:pPr>
            <w:r w:rsidRPr="006F2954">
              <w:rPr>
                <w:rFonts w:ascii="Segoe UI" w:eastAsia="Times New Roman" w:hAnsi="Segoe UI" w:cs="Segoe UI"/>
                <w:b/>
                <w:bCs/>
                <w:color w:val="242424"/>
                <w:sz w:val="21"/>
                <w:szCs w:val="21"/>
                <w:lang w:val="en-GB" w:eastAsia="en-GB"/>
              </w:rPr>
              <w:t>PROMPT Emergency Training</w:t>
            </w:r>
          </w:p>
        </w:tc>
        <w:tc>
          <w:tcPr>
            <w:tcW w:w="0" w:type="auto"/>
            <w:tcBorders>
              <w:bottom w:val="single" w:sz="6" w:space="0" w:color="D6D6D6"/>
            </w:tcBorders>
            <w:shd w:val="clear" w:color="auto" w:fill="FFFFFF"/>
            <w:tcMar>
              <w:top w:w="15" w:type="dxa"/>
              <w:left w:w="75" w:type="dxa"/>
              <w:bottom w:w="15" w:type="dxa"/>
              <w:right w:w="75" w:type="dxa"/>
            </w:tcMar>
            <w:vAlign w:val="center"/>
            <w:hideMark/>
          </w:tcPr>
          <w:p w14:paraId="3114D6B0" w14:textId="77777777" w:rsidR="00EE1E12" w:rsidRPr="006F2954" w:rsidRDefault="00EE1E12" w:rsidP="009759FA">
            <w:pPr>
              <w:rPr>
                <w:rFonts w:ascii="Segoe UI" w:eastAsia="Times New Roman" w:hAnsi="Segoe UI" w:cs="Segoe UI"/>
                <w:color w:val="242424"/>
                <w:sz w:val="21"/>
                <w:szCs w:val="21"/>
                <w:lang w:val="en-GB" w:eastAsia="en-GB"/>
              </w:rPr>
            </w:pPr>
            <w:r w:rsidRPr="006F2954">
              <w:rPr>
                <w:rFonts w:ascii="Segoe UI" w:eastAsia="Times New Roman" w:hAnsi="Segoe UI" w:cs="Segoe UI"/>
                <w:color w:val="242424"/>
                <w:sz w:val="21"/>
                <w:szCs w:val="21"/>
                <w:lang w:val="en-GB" w:eastAsia="en-GB"/>
              </w:rPr>
              <w:t>Mandatory drills for obstetric emergencies </w:t>
            </w:r>
          </w:p>
        </w:tc>
      </w:tr>
    </w:tbl>
    <w:p w14:paraId="2BF5620D" w14:textId="21066426" w:rsidR="00AF42B1" w:rsidRPr="00EE1E12" w:rsidRDefault="00AF42B1" w:rsidP="00EE1E12">
      <w:pPr>
        <w:rPr>
          <w:rFonts w:ascii="Arial" w:eastAsia="Times New Roman" w:hAnsi="Arial" w:cs="Arial"/>
          <w:sz w:val="22"/>
          <w:szCs w:val="22"/>
          <w:lang w:val="en-GB" w:eastAsia="en-GB"/>
        </w:rPr>
      </w:pPr>
    </w:p>
    <w:p w14:paraId="7CFFDB8B" w14:textId="77777777" w:rsidR="005805E5" w:rsidRDefault="005805E5" w:rsidP="003F6BC6">
      <w:pPr>
        <w:spacing w:after="120"/>
        <w:rPr>
          <w:rFonts w:ascii="Arial" w:hAnsi="Arial" w:cs="Arial"/>
          <w:bCs/>
          <w:sz w:val="22"/>
          <w:szCs w:val="22"/>
          <w:highlight w:val="yellow"/>
          <w:lang w:val="en-GB"/>
        </w:rPr>
      </w:pPr>
    </w:p>
    <w:bookmarkEnd w:id="8"/>
    <w:p w14:paraId="59D2D65A" w14:textId="6C458DCA" w:rsidR="00CA09C2" w:rsidRPr="00B43BE5" w:rsidRDefault="008F35B9" w:rsidP="008F35B9">
      <w:pPr>
        <w:spacing w:after="120"/>
        <w:rPr>
          <w:rFonts w:ascii="Arial" w:hAnsi="Arial" w:cs="Arial"/>
          <w:b/>
          <w:sz w:val="22"/>
          <w:szCs w:val="22"/>
          <w:u w:val="single"/>
          <w:lang w:val="en-GB"/>
        </w:rPr>
      </w:pPr>
      <w:r w:rsidRPr="00B43BE5">
        <w:rPr>
          <w:rFonts w:ascii="Arial" w:hAnsi="Arial" w:cs="Arial"/>
          <w:b/>
          <w:sz w:val="22"/>
          <w:szCs w:val="22"/>
          <w:u w:val="single"/>
          <w:lang w:val="en-GB"/>
        </w:rPr>
        <w:t xml:space="preserve">10.3 </w:t>
      </w:r>
      <w:r w:rsidR="003F6BC6" w:rsidRPr="00B43BE5">
        <w:rPr>
          <w:rFonts w:ascii="Arial" w:hAnsi="Arial" w:cs="Arial"/>
          <w:b/>
          <w:sz w:val="22"/>
          <w:szCs w:val="22"/>
          <w:u w:val="single"/>
          <w:lang w:val="en-GB"/>
        </w:rPr>
        <w:t>Communication</w:t>
      </w:r>
    </w:p>
    <w:p w14:paraId="396600D7" w14:textId="7428BC75" w:rsidR="005805E5" w:rsidRPr="005805E5" w:rsidRDefault="005805E5" w:rsidP="005805E5">
      <w:pPr>
        <w:spacing w:after="120"/>
        <w:jc w:val="both"/>
        <w:rPr>
          <w:rFonts w:ascii="Arial" w:hAnsi="Arial" w:cs="Arial"/>
          <w:bCs/>
          <w:sz w:val="22"/>
          <w:szCs w:val="22"/>
          <w:lang w:val="en-GB"/>
        </w:rPr>
      </w:pPr>
      <w:r>
        <w:rPr>
          <w:rFonts w:ascii="Arial" w:hAnsi="Arial" w:cs="Arial"/>
          <w:bCs/>
          <w:sz w:val="22"/>
          <w:szCs w:val="22"/>
          <w:lang w:val="en-GB"/>
        </w:rPr>
        <w:t>The Trust recognise that f</w:t>
      </w:r>
      <w:r w:rsidRPr="005805E5">
        <w:rPr>
          <w:rFonts w:ascii="Arial" w:hAnsi="Arial" w:cs="Arial"/>
          <w:bCs/>
          <w:sz w:val="22"/>
          <w:szCs w:val="22"/>
          <w:lang w:val="en-GB"/>
        </w:rPr>
        <w:t xml:space="preserve">ailings in communication are a common finding in </w:t>
      </w:r>
      <w:r>
        <w:rPr>
          <w:rFonts w:ascii="Arial" w:hAnsi="Arial" w:cs="Arial"/>
          <w:bCs/>
          <w:sz w:val="22"/>
          <w:szCs w:val="22"/>
          <w:lang w:val="en-GB"/>
        </w:rPr>
        <w:t xml:space="preserve">our complaint (and incident) investigations. </w:t>
      </w:r>
      <w:r w:rsidRPr="005805E5">
        <w:rPr>
          <w:rFonts w:ascii="Arial" w:hAnsi="Arial" w:cs="Arial"/>
          <w:bCs/>
          <w:sz w:val="22"/>
          <w:szCs w:val="22"/>
          <w:lang w:val="en-GB"/>
        </w:rPr>
        <w:t>Effective communication can have a profound impact on how patients and caregivers perceive their care.</w:t>
      </w:r>
      <w:r>
        <w:rPr>
          <w:rFonts w:ascii="Arial" w:hAnsi="Arial" w:cs="Arial"/>
          <w:bCs/>
          <w:sz w:val="22"/>
          <w:szCs w:val="22"/>
          <w:lang w:val="en-GB"/>
        </w:rPr>
        <w:t xml:space="preserve"> </w:t>
      </w:r>
      <w:r w:rsidRPr="005805E5">
        <w:rPr>
          <w:rFonts w:ascii="Arial" w:hAnsi="Arial" w:cs="Arial"/>
          <w:bCs/>
          <w:sz w:val="22"/>
          <w:szCs w:val="22"/>
          <w:lang w:val="en-GB"/>
        </w:rPr>
        <w:t>Research and policy analysis on communication and patient safety has focused on written communication, but safe healthcare also depends heavily on the spoken word. Good spoken communication is about passing on clear and accurate information</w:t>
      </w:r>
    </w:p>
    <w:p w14:paraId="682EA2A7" w14:textId="77777777" w:rsidR="005805E5" w:rsidRPr="005805E5" w:rsidRDefault="005805E5" w:rsidP="005805E5">
      <w:pPr>
        <w:spacing w:after="120"/>
        <w:jc w:val="both"/>
        <w:rPr>
          <w:rFonts w:ascii="Arial" w:hAnsi="Arial" w:cs="Arial"/>
          <w:bCs/>
          <w:sz w:val="22"/>
          <w:szCs w:val="22"/>
          <w:lang w:val="en-GB"/>
        </w:rPr>
      </w:pPr>
      <w:r w:rsidRPr="005805E5">
        <w:rPr>
          <w:rFonts w:ascii="Arial" w:hAnsi="Arial" w:cs="Arial"/>
          <w:bCs/>
          <w:sz w:val="22"/>
          <w:szCs w:val="22"/>
          <w:lang w:val="en-GB"/>
        </w:rPr>
        <w:t>Communication throughout a patient’s interaction with the health care system, including during diagnosis, treatment, and transitions to other settings of care including the home, helps to ensure patients and family caregivers can participate effectively in their care and make informed decisions. However, when these communication touchpoints are not optimal or are missed altogether, there is an opportunity for harm.</w:t>
      </w:r>
    </w:p>
    <w:p w14:paraId="3A550CAD" w14:textId="08BBECD2" w:rsidR="003F6BC6" w:rsidRDefault="003F6BC6" w:rsidP="005805E5">
      <w:pPr>
        <w:spacing w:after="120"/>
        <w:jc w:val="both"/>
        <w:rPr>
          <w:rFonts w:ascii="Arial" w:hAnsi="Arial" w:cs="Arial"/>
          <w:bCs/>
          <w:sz w:val="22"/>
          <w:szCs w:val="22"/>
          <w:lang w:val="en-GB"/>
        </w:rPr>
      </w:pPr>
      <w:r w:rsidRPr="005805E5">
        <w:rPr>
          <w:rFonts w:ascii="Arial" w:hAnsi="Arial" w:cs="Arial"/>
          <w:bCs/>
          <w:sz w:val="22"/>
          <w:szCs w:val="22"/>
          <w:lang w:val="en-GB"/>
        </w:rPr>
        <w:t xml:space="preserve">Communication (between staff and patients/families) features in the Trust’s Patient Safety Incident Response Plan (published March 2024).  </w:t>
      </w:r>
    </w:p>
    <w:p w14:paraId="542994F7" w14:textId="0BA317CC" w:rsidR="00C1601D" w:rsidRPr="007E1424" w:rsidRDefault="005B0653" w:rsidP="005805E5">
      <w:pPr>
        <w:spacing w:after="120"/>
        <w:jc w:val="both"/>
        <w:rPr>
          <w:rFonts w:ascii="Arial" w:hAnsi="Arial" w:cs="Arial"/>
          <w:sz w:val="22"/>
          <w:szCs w:val="22"/>
        </w:rPr>
      </w:pPr>
      <w:r w:rsidRPr="005B0653">
        <w:rPr>
          <w:rFonts w:ascii="Arial" w:hAnsi="Arial" w:cs="Arial"/>
          <w:sz w:val="22"/>
          <w:szCs w:val="22"/>
        </w:rPr>
        <w:t xml:space="preserve">In recognition of the challenges faced with communication with service users, the Digital team have introduced the Patient Engagement Portal.  Martha’s Rule is also helping to empower patients, families, carers and staff to ensure that their concerns are listened to and acted upon. The introduction of a monthly Experience of Care Meeting in April 2025 will further improve learning from complaints, by the provision of a forum to consider real time issues, concerns, themes and trends across both the PALs and Complaints teams.  Though the work of this group, Divisional and Service line leaders will be supported with designing and developing </w:t>
      </w:r>
      <w:r w:rsidR="00E36F1E">
        <w:rPr>
          <w:rFonts w:ascii="Arial" w:hAnsi="Arial" w:cs="Arial"/>
          <w:sz w:val="22"/>
          <w:szCs w:val="22"/>
        </w:rPr>
        <w:t xml:space="preserve">SMART </w:t>
      </w:r>
      <w:r w:rsidRPr="005B0653">
        <w:rPr>
          <w:rFonts w:ascii="Arial" w:hAnsi="Arial" w:cs="Arial"/>
          <w:sz w:val="22"/>
          <w:szCs w:val="22"/>
        </w:rPr>
        <w:t>actions to improve service user experience</w:t>
      </w:r>
      <w:r w:rsidR="00E36F1E">
        <w:rPr>
          <w:rFonts w:ascii="Arial" w:hAnsi="Arial" w:cs="Arial"/>
          <w:sz w:val="22"/>
          <w:szCs w:val="22"/>
        </w:rPr>
        <w:t>, with a specific focus on communication.</w:t>
      </w:r>
    </w:p>
    <w:p w14:paraId="183615D9" w14:textId="77777777" w:rsidR="00C1601D" w:rsidRPr="00145EBA" w:rsidRDefault="00C1601D" w:rsidP="005805E5">
      <w:pPr>
        <w:spacing w:after="120"/>
        <w:jc w:val="both"/>
        <w:rPr>
          <w:rFonts w:ascii="Arial" w:hAnsi="Arial" w:cs="Arial"/>
          <w:bCs/>
          <w:sz w:val="22"/>
          <w:szCs w:val="22"/>
          <w:u w:val="single"/>
          <w:lang w:val="en-GB"/>
        </w:rPr>
      </w:pPr>
    </w:p>
    <w:p w14:paraId="017D4445" w14:textId="0E34B1AA" w:rsidR="008F758B" w:rsidRPr="00C1601D" w:rsidRDefault="00C1601D" w:rsidP="00C1601D">
      <w:pPr>
        <w:spacing w:after="120"/>
        <w:rPr>
          <w:rFonts w:ascii="Arial" w:hAnsi="Arial" w:cs="Arial"/>
          <w:b/>
          <w:sz w:val="22"/>
          <w:szCs w:val="22"/>
          <w:lang w:val="en-GB"/>
        </w:rPr>
      </w:pPr>
      <w:r>
        <w:rPr>
          <w:rFonts w:ascii="Arial" w:hAnsi="Arial" w:cs="Arial"/>
          <w:b/>
          <w:sz w:val="22"/>
          <w:szCs w:val="22"/>
          <w:lang w:val="en-GB"/>
        </w:rPr>
        <w:t xml:space="preserve">11. </w:t>
      </w:r>
      <w:r w:rsidR="007C4E20" w:rsidRPr="00C1601D">
        <w:rPr>
          <w:rFonts w:ascii="Arial" w:hAnsi="Arial" w:cs="Arial"/>
          <w:b/>
          <w:sz w:val="22"/>
          <w:szCs w:val="22"/>
          <w:lang w:val="en-GB"/>
        </w:rPr>
        <w:t>Looking Forward</w:t>
      </w:r>
    </w:p>
    <w:p w14:paraId="24BFE48D" w14:textId="77777777" w:rsidR="005F7A6C" w:rsidRPr="003F6BC6" w:rsidRDefault="005F7A6C" w:rsidP="005F7A6C">
      <w:pPr>
        <w:jc w:val="both"/>
        <w:rPr>
          <w:rFonts w:ascii="Arial" w:hAnsi="Arial" w:cs="Arial"/>
          <w:sz w:val="22"/>
          <w:szCs w:val="22"/>
          <w:lang w:val="en-GB"/>
        </w:rPr>
      </w:pPr>
    </w:p>
    <w:p w14:paraId="7EF03F74" w14:textId="6077C21C" w:rsidR="00FA5A12" w:rsidRPr="003F6BC6" w:rsidRDefault="00DD35E6" w:rsidP="00096C72">
      <w:pPr>
        <w:spacing w:after="120"/>
        <w:jc w:val="both"/>
        <w:rPr>
          <w:rFonts w:ascii="Arial" w:hAnsi="Arial" w:cs="Arial"/>
          <w:sz w:val="22"/>
          <w:szCs w:val="22"/>
          <w:lang w:val="en-GB"/>
        </w:rPr>
      </w:pPr>
      <w:r w:rsidRPr="003F6BC6">
        <w:rPr>
          <w:rFonts w:ascii="Arial" w:hAnsi="Arial" w:cs="Arial"/>
          <w:sz w:val="22"/>
          <w:szCs w:val="22"/>
          <w:lang w:val="en-GB"/>
        </w:rPr>
        <w:t>Gloucestershire</w:t>
      </w:r>
      <w:r w:rsidR="00271852" w:rsidRPr="003F6BC6">
        <w:rPr>
          <w:rFonts w:ascii="Arial" w:hAnsi="Arial" w:cs="Arial"/>
          <w:sz w:val="22"/>
          <w:szCs w:val="22"/>
          <w:lang w:val="en-GB"/>
        </w:rPr>
        <w:t xml:space="preserve"> </w:t>
      </w:r>
      <w:r w:rsidRPr="003F6BC6">
        <w:rPr>
          <w:rFonts w:ascii="Arial" w:hAnsi="Arial" w:cs="Arial"/>
          <w:sz w:val="22"/>
          <w:szCs w:val="22"/>
          <w:lang w:val="en-GB"/>
        </w:rPr>
        <w:t>Hospitals</w:t>
      </w:r>
      <w:r w:rsidR="00271852" w:rsidRPr="003F6BC6">
        <w:rPr>
          <w:rFonts w:ascii="Arial" w:hAnsi="Arial" w:cs="Arial"/>
          <w:sz w:val="22"/>
          <w:szCs w:val="22"/>
          <w:lang w:val="en-GB"/>
        </w:rPr>
        <w:t xml:space="preserve"> NHS Foundation Trust continues to be proactive in its management of its complaints pr</w:t>
      </w:r>
      <w:r w:rsidR="00F70C7B" w:rsidRPr="003F6BC6">
        <w:rPr>
          <w:rFonts w:ascii="Arial" w:hAnsi="Arial" w:cs="Arial"/>
          <w:sz w:val="22"/>
          <w:szCs w:val="22"/>
          <w:lang w:val="en-GB"/>
        </w:rPr>
        <w:t>ocess.</w:t>
      </w:r>
      <w:r w:rsidR="00CB6500" w:rsidRPr="003F6BC6">
        <w:rPr>
          <w:rFonts w:ascii="Arial" w:hAnsi="Arial" w:cs="Arial"/>
          <w:sz w:val="22"/>
          <w:szCs w:val="22"/>
          <w:lang w:val="en-GB"/>
        </w:rPr>
        <w:t xml:space="preserve"> </w:t>
      </w:r>
    </w:p>
    <w:p w14:paraId="02B07556" w14:textId="18D1A1DE" w:rsidR="00C1601D" w:rsidRDefault="00C1601D" w:rsidP="00096C72">
      <w:pPr>
        <w:spacing w:after="120"/>
        <w:jc w:val="both"/>
        <w:rPr>
          <w:rFonts w:ascii="Arial" w:hAnsi="Arial" w:cs="Arial"/>
          <w:sz w:val="22"/>
          <w:szCs w:val="22"/>
          <w:lang w:val="en-GB"/>
        </w:rPr>
      </w:pPr>
      <w:r>
        <w:rPr>
          <w:rFonts w:ascii="Arial" w:hAnsi="Arial" w:cs="Arial"/>
          <w:sz w:val="22"/>
          <w:szCs w:val="22"/>
          <w:lang w:val="en-GB"/>
        </w:rPr>
        <w:t>The Complaint Improvement Programme will continue throughout 2025/2026. Through the work of this group, the Trust will continue to improve:</w:t>
      </w:r>
    </w:p>
    <w:p w14:paraId="72656D4C" w14:textId="46588477" w:rsidR="00C1601D" w:rsidRDefault="00C1601D" w:rsidP="00C1601D">
      <w:pPr>
        <w:pStyle w:val="ListParagraph"/>
        <w:numPr>
          <w:ilvl w:val="0"/>
          <w:numId w:val="9"/>
        </w:numPr>
        <w:spacing w:after="120"/>
        <w:jc w:val="both"/>
        <w:rPr>
          <w:rFonts w:ascii="Arial" w:hAnsi="Arial" w:cs="Arial"/>
          <w:sz w:val="22"/>
          <w:szCs w:val="22"/>
          <w:lang w:val="en-GB"/>
        </w:rPr>
      </w:pPr>
      <w:r w:rsidRPr="007E1424">
        <w:rPr>
          <w:rFonts w:ascii="Arial" w:hAnsi="Arial" w:cs="Arial"/>
          <w:b/>
          <w:bCs/>
          <w:i/>
          <w:iCs/>
          <w:sz w:val="22"/>
          <w:szCs w:val="22"/>
          <w:lang w:val="en-GB"/>
        </w:rPr>
        <w:t>How we respond to Complaints</w:t>
      </w:r>
      <w:r>
        <w:rPr>
          <w:rFonts w:ascii="Arial" w:hAnsi="Arial" w:cs="Arial"/>
          <w:sz w:val="22"/>
          <w:szCs w:val="22"/>
          <w:lang w:val="en-GB"/>
        </w:rPr>
        <w:t>; offering direct contact with Senior Leaders to resolve concerns</w:t>
      </w:r>
      <w:r w:rsidR="00580C3E">
        <w:rPr>
          <w:rFonts w:ascii="Arial" w:hAnsi="Arial" w:cs="Arial"/>
          <w:sz w:val="22"/>
          <w:szCs w:val="22"/>
          <w:lang w:val="en-GB"/>
        </w:rPr>
        <w:t xml:space="preserve"> through implementation of the New Complaint Handling Framework</w:t>
      </w:r>
    </w:p>
    <w:p w14:paraId="42DE7EB0" w14:textId="1F46F541" w:rsidR="00C1601D" w:rsidRDefault="00C1601D" w:rsidP="00C1601D">
      <w:pPr>
        <w:pStyle w:val="ListParagraph"/>
        <w:numPr>
          <w:ilvl w:val="0"/>
          <w:numId w:val="9"/>
        </w:numPr>
        <w:spacing w:after="120"/>
        <w:jc w:val="both"/>
        <w:rPr>
          <w:rFonts w:ascii="Arial" w:hAnsi="Arial" w:cs="Arial"/>
          <w:sz w:val="22"/>
          <w:szCs w:val="22"/>
          <w:lang w:val="en-GB"/>
        </w:rPr>
      </w:pPr>
      <w:r w:rsidRPr="007E1424">
        <w:rPr>
          <w:rFonts w:ascii="Arial" w:hAnsi="Arial" w:cs="Arial"/>
          <w:b/>
          <w:bCs/>
          <w:i/>
          <w:iCs/>
          <w:sz w:val="22"/>
          <w:szCs w:val="22"/>
          <w:lang w:val="en-GB"/>
        </w:rPr>
        <w:t>The timeframes within which we respond to Complaints</w:t>
      </w:r>
      <w:r>
        <w:rPr>
          <w:rFonts w:ascii="Arial" w:hAnsi="Arial" w:cs="Arial"/>
          <w:sz w:val="22"/>
          <w:szCs w:val="22"/>
          <w:lang w:val="en-GB"/>
        </w:rPr>
        <w:t>; ensuring a sustained 90% response rate</w:t>
      </w:r>
    </w:p>
    <w:p w14:paraId="6A416948" w14:textId="41150363" w:rsidR="00C1601D" w:rsidRDefault="00C1601D" w:rsidP="00C1601D">
      <w:pPr>
        <w:pStyle w:val="ListParagraph"/>
        <w:numPr>
          <w:ilvl w:val="0"/>
          <w:numId w:val="9"/>
        </w:numPr>
        <w:spacing w:after="120"/>
        <w:jc w:val="both"/>
        <w:rPr>
          <w:rFonts w:ascii="Arial" w:hAnsi="Arial" w:cs="Arial"/>
          <w:sz w:val="22"/>
          <w:szCs w:val="22"/>
          <w:lang w:val="en-GB"/>
        </w:rPr>
      </w:pPr>
      <w:r w:rsidRPr="007E1424">
        <w:rPr>
          <w:rFonts w:ascii="Arial" w:hAnsi="Arial" w:cs="Arial"/>
          <w:b/>
          <w:bCs/>
          <w:i/>
          <w:iCs/>
          <w:sz w:val="22"/>
          <w:szCs w:val="22"/>
          <w:lang w:val="en-GB"/>
        </w:rPr>
        <w:t>The quality of the response provided</w:t>
      </w:r>
      <w:r>
        <w:rPr>
          <w:rFonts w:ascii="Arial" w:hAnsi="Arial" w:cs="Arial"/>
          <w:sz w:val="22"/>
          <w:szCs w:val="22"/>
          <w:lang w:val="en-GB"/>
        </w:rPr>
        <w:t>; ensuring open, transparent</w:t>
      </w:r>
      <w:r w:rsidR="00580C3E">
        <w:rPr>
          <w:rFonts w:ascii="Arial" w:hAnsi="Arial" w:cs="Arial"/>
          <w:sz w:val="22"/>
          <w:szCs w:val="22"/>
          <w:lang w:val="en-GB"/>
        </w:rPr>
        <w:t>, fair</w:t>
      </w:r>
      <w:r>
        <w:rPr>
          <w:rFonts w:ascii="Arial" w:hAnsi="Arial" w:cs="Arial"/>
          <w:sz w:val="22"/>
          <w:szCs w:val="22"/>
          <w:lang w:val="en-GB"/>
        </w:rPr>
        <w:t xml:space="preserve"> and thorough responses</w:t>
      </w:r>
    </w:p>
    <w:p w14:paraId="609C72CB" w14:textId="51015834" w:rsidR="00C1601D" w:rsidRDefault="00C1601D" w:rsidP="00C1601D">
      <w:pPr>
        <w:pStyle w:val="ListParagraph"/>
        <w:numPr>
          <w:ilvl w:val="0"/>
          <w:numId w:val="9"/>
        </w:numPr>
        <w:spacing w:after="120"/>
        <w:jc w:val="both"/>
        <w:rPr>
          <w:rFonts w:ascii="Arial" w:hAnsi="Arial" w:cs="Arial"/>
          <w:sz w:val="22"/>
          <w:szCs w:val="22"/>
          <w:lang w:val="en-GB"/>
        </w:rPr>
      </w:pPr>
      <w:r w:rsidRPr="007E1424">
        <w:rPr>
          <w:rFonts w:ascii="Arial" w:hAnsi="Arial" w:cs="Arial"/>
          <w:b/>
          <w:bCs/>
          <w:i/>
          <w:iCs/>
          <w:sz w:val="22"/>
          <w:szCs w:val="22"/>
          <w:lang w:val="en-GB"/>
        </w:rPr>
        <w:t>How we learn from Complaints</w:t>
      </w:r>
      <w:r>
        <w:rPr>
          <w:rFonts w:ascii="Arial" w:hAnsi="Arial" w:cs="Arial"/>
          <w:sz w:val="22"/>
          <w:szCs w:val="22"/>
          <w:lang w:val="en-GB"/>
        </w:rPr>
        <w:t xml:space="preserve">; </w:t>
      </w:r>
      <w:r w:rsidR="00580C3E">
        <w:rPr>
          <w:rFonts w:ascii="Arial" w:hAnsi="Arial" w:cs="Arial"/>
          <w:sz w:val="22"/>
          <w:szCs w:val="22"/>
          <w:lang w:val="en-GB"/>
        </w:rPr>
        <w:t xml:space="preserve">real time </w:t>
      </w:r>
      <w:r>
        <w:rPr>
          <w:rFonts w:ascii="Arial" w:hAnsi="Arial" w:cs="Arial"/>
          <w:sz w:val="22"/>
          <w:szCs w:val="22"/>
          <w:lang w:val="en-GB"/>
        </w:rPr>
        <w:t>thematic analysis, monitoring and assurance of actions</w:t>
      </w:r>
    </w:p>
    <w:p w14:paraId="5554C9CB" w14:textId="42E816A8" w:rsidR="005F7A6C" w:rsidRDefault="00C1601D" w:rsidP="00D45016">
      <w:pPr>
        <w:pStyle w:val="ListParagraph"/>
        <w:numPr>
          <w:ilvl w:val="0"/>
          <w:numId w:val="9"/>
        </w:numPr>
        <w:spacing w:after="120"/>
        <w:jc w:val="both"/>
        <w:rPr>
          <w:rFonts w:ascii="Arial" w:hAnsi="Arial" w:cs="Arial"/>
          <w:sz w:val="22"/>
          <w:szCs w:val="22"/>
          <w:lang w:val="en-GB"/>
        </w:rPr>
      </w:pPr>
      <w:r w:rsidRPr="007E1424">
        <w:rPr>
          <w:rFonts w:ascii="Arial" w:hAnsi="Arial" w:cs="Arial"/>
          <w:b/>
          <w:bCs/>
          <w:i/>
          <w:iCs/>
          <w:sz w:val="22"/>
          <w:szCs w:val="22"/>
          <w:lang w:val="en-GB"/>
        </w:rPr>
        <w:t>Knowledge, skills and competency of staff involved with complaint handling</w:t>
      </w:r>
      <w:r w:rsidR="00580C3E">
        <w:rPr>
          <w:rFonts w:ascii="Arial" w:hAnsi="Arial" w:cs="Arial"/>
          <w:sz w:val="22"/>
          <w:szCs w:val="22"/>
          <w:lang w:val="en-GB"/>
        </w:rPr>
        <w:t>: providing opportunities to complete the PHSO Complaint Handling Training</w:t>
      </w:r>
    </w:p>
    <w:p w14:paraId="07317F1D" w14:textId="105CBD57" w:rsidR="00C1601D" w:rsidRPr="00C1601D" w:rsidRDefault="00580C3E" w:rsidP="00D45016">
      <w:pPr>
        <w:pStyle w:val="ListParagraph"/>
        <w:numPr>
          <w:ilvl w:val="0"/>
          <w:numId w:val="9"/>
        </w:numPr>
        <w:spacing w:after="120"/>
        <w:jc w:val="both"/>
        <w:rPr>
          <w:rFonts w:ascii="Arial" w:hAnsi="Arial" w:cs="Arial"/>
          <w:sz w:val="22"/>
          <w:szCs w:val="22"/>
          <w:lang w:val="en-GB"/>
        </w:rPr>
      </w:pPr>
      <w:r w:rsidRPr="007E1424">
        <w:rPr>
          <w:rFonts w:ascii="Arial" w:hAnsi="Arial" w:cs="Arial"/>
          <w:b/>
          <w:bCs/>
          <w:i/>
          <w:iCs/>
          <w:sz w:val="22"/>
          <w:szCs w:val="22"/>
          <w:lang w:val="en-GB"/>
        </w:rPr>
        <w:t>Utilising</w:t>
      </w:r>
      <w:r w:rsidR="00C1601D" w:rsidRPr="007E1424">
        <w:rPr>
          <w:rFonts w:ascii="Arial" w:hAnsi="Arial" w:cs="Arial"/>
          <w:b/>
          <w:bCs/>
          <w:i/>
          <w:iCs/>
          <w:sz w:val="22"/>
          <w:szCs w:val="22"/>
          <w:lang w:val="en-GB"/>
        </w:rPr>
        <w:t xml:space="preserve"> AI</w:t>
      </w:r>
      <w:r w:rsidR="00C1601D">
        <w:rPr>
          <w:rFonts w:ascii="Arial" w:hAnsi="Arial" w:cs="Arial"/>
          <w:sz w:val="22"/>
          <w:szCs w:val="22"/>
          <w:lang w:val="en-GB"/>
        </w:rPr>
        <w:t xml:space="preserve"> to support complaint handling processes</w:t>
      </w:r>
    </w:p>
    <w:p w14:paraId="26F716CF" w14:textId="77777777" w:rsidR="00CA09C2" w:rsidRDefault="00CA09C2" w:rsidP="00B43BE5">
      <w:pPr>
        <w:rPr>
          <w:rFonts w:ascii="Arial" w:hAnsi="Arial" w:cs="Arial"/>
          <w:sz w:val="22"/>
          <w:szCs w:val="22"/>
          <w:lang w:val="en-GB"/>
        </w:rPr>
      </w:pPr>
    </w:p>
    <w:p w14:paraId="3864A757" w14:textId="65340BA9" w:rsidR="00EB755C" w:rsidRPr="00CA09C2" w:rsidRDefault="005F7A6C" w:rsidP="00C1601D">
      <w:pPr>
        <w:rPr>
          <w:rFonts w:ascii="Arial" w:hAnsi="Arial" w:cs="Arial"/>
          <w:b/>
          <w:bCs/>
          <w:i/>
          <w:iCs/>
          <w:sz w:val="22"/>
          <w:szCs w:val="22"/>
          <w:lang w:eastAsia="en-GB"/>
        </w:rPr>
      </w:pPr>
      <w:r w:rsidRPr="00CA09C2">
        <w:rPr>
          <w:rFonts w:ascii="Arial" w:hAnsi="Arial" w:cs="Arial"/>
          <w:b/>
          <w:bCs/>
          <w:i/>
          <w:iCs/>
          <w:sz w:val="22"/>
          <w:szCs w:val="22"/>
          <w:lang w:val="en-GB"/>
        </w:rPr>
        <w:t>Author:</w:t>
      </w:r>
      <w:r w:rsidRPr="00CA09C2">
        <w:rPr>
          <w:rFonts w:ascii="Arial" w:hAnsi="Arial" w:cs="Arial"/>
          <w:b/>
          <w:bCs/>
          <w:i/>
          <w:iCs/>
          <w:sz w:val="22"/>
          <w:szCs w:val="22"/>
          <w:lang w:val="en-GB"/>
        </w:rPr>
        <w:tab/>
      </w:r>
      <w:r w:rsidR="00EB755C" w:rsidRPr="00CA09C2">
        <w:rPr>
          <w:rFonts w:ascii="Arial" w:hAnsi="Arial" w:cs="Arial"/>
          <w:b/>
          <w:bCs/>
          <w:i/>
          <w:iCs/>
          <w:sz w:val="22"/>
          <w:szCs w:val="22"/>
          <w:lang w:val="en-GB"/>
        </w:rPr>
        <w:tab/>
      </w:r>
      <w:r w:rsidRPr="00CA09C2">
        <w:rPr>
          <w:rFonts w:ascii="Arial" w:hAnsi="Arial" w:cs="Arial"/>
          <w:b/>
          <w:bCs/>
          <w:i/>
          <w:iCs/>
          <w:sz w:val="22"/>
          <w:szCs w:val="22"/>
          <w:lang w:val="en-GB"/>
        </w:rPr>
        <w:t xml:space="preserve">Jo </w:t>
      </w:r>
      <w:proofErr w:type="spellStart"/>
      <w:r w:rsidRPr="00CA09C2">
        <w:rPr>
          <w:rFonts w:ascii="Arial" w:hAnsi="Arial" w:cs="Arial"/>
          <w:b/>
          <w:bCs/>
          <w:i/>
          <w:iCs/>
          <w:sz w:val="22"/>
          <w:szCs w:val="22"/>
          <w:lang w:val="en-GB"/>
        </w:rPr>
        <w:t>Mason-Higgins</w:t>
      </w:r>
      <w:r w:rsidR="00EB755C" w:rsidRPr="00CA09C2">
        <w:rPr>
          <w:rFonts w:ascii="Arial" w:hAnsi="Arial" w:cs="Arial"/>
          <w:b/>
          <w:bCs/>
          <w:i/>
          <w:iCs/>
          <w:sz w:val="22"/>
          <w:szCs w:val="22"/>
          <w:lang w:val="en-GB"/>
        </w:rPr>
        <w:t>,</w:t>
      </w:r>
      <w:proofErr w:type="spellEnd"/>
      <w:r w:rsidR="00EB755C" w:rsidRPr="00CA09C2">
        <w:rPr>
          <w:rFonts w:ascii="Arial" w:hAnsi="Arial" w:cs="Arial"/>
          <w:b/>
          <w:bCs/>
          <w:i/>
          <w:iCs/>
          <w:sz w:val="22"/>
          <w:szCs w:val="22"/>
          <w:lang w:val="en-GB"/>
        </w:rPr>
        <w:t xml:space="preserve"> </w:t>
      </w:r>
      <w:r w:rsidR="002F5C8A" w:rsidRPr="00CA09C2">
        <w:rPr>
          <w:rFonts w:ascii="Arial" w:hAnsi="Arial" w:cs="Arial"/>
          <w:b/>
          <w:bCs/>
          <w:i/>
          <w:iCs/>
          <w:sz w:val="22"/>
          <w:szCs w:val="22"/>
          <w:lang w:eastAsia="en-GB"/>
        </w:rPr>
        <w:t xml:space="preserve">Acting Associate Director of Safety </w:t>
      </w:r>
    </w:p>
    <w:p w14:paraId="7C190B1B" w14:textId="77777777" w:rsidR="00EB755C" w:rsidRPr="00CA09C2" w:rsidRDefault="00EB755C" w:rsidP="00EB755C">
      <w:pPr>
        <w:ind w:firstLine="714"/>
        <w:rPr>
          <w:rFonts w:ascii="Arial" w:hAnsi="Arial" w:cs="Arial"/>
          <w:b/>
          <w:bCs/>
          <w:i/>
          <w:iCs/>
          <w:sz w:val="22"/>
          <w:szCs w:val="22"/>
          <w:lang w:eastAsia="en-GB"/>
        </w:rPr>
      </w:pPr>
    </w:p>
    <w:p w14:paraId="0F02B773" w14:textId="35822B65" w:rsidR="006F7659" w:rsidRPr="001A63EC" w:rsidRDefault="00EB755C" w:rsidP="00C1601D">
      <w:pPr>
        <w:rPr>
          <w:rFonts w:ascii="Arial" w:hAnsi="Arial" w:cs="Arial"/>
          <w:sz w:val="22"/>
          <w:szCs w:val="22"/>
          <w:lang w:val="en-GB"/>
        </w:rPr>
      </w:pPr>
      <w:r w:rsidRPr="00CA09C2">
        <w:rPr>
          <w:rFonts w:ascii="Arial" w:hAnsi="Arial" w:cs="Arial"/>
          <w:b/>
          <w:bCs/>
          <w:i/>
          <w:iCs/>
          <w:sz w:val="22"/>
          <w:szCs w:val="22"/>
          <w:lang w:eastAsia="en-GB"/>
        </w:rPr>
        <w:t>Date:</w:t>
      </w:r>
      <w:r w:rsidRPr="00CA09C2">
        <w:rPr>
          <w:rFonts w:ascii="Arial" w:hAnsi="Arial" w:cs="Arial"/>
          <w:b/>
          <w:bCs/>
          <w:i/>
          <w:iCs/>
          <w:sz w:val="22"/>
          <w:szCs w:val="22"/>
          <w:lang w:eastAsia="en-GB"/>
        </w:rPr>
        <w:tab/>
      </w:r>
      <w:r w:rsidRPr="00CA09C2">
        <w:rPr>
          <w:rFonts w:ascii="Arial" w:hAnsi="Arial" w:cs="Arial"/>
          <w:b/>
          <w:bCs/>
          <w:i/>
          <w:iCs/>
          <w:sz w:val="22"/>
          <w:szCs w:val="22"/>
          <w:lang w:eastAsia="en-GB"/>
        </w:rPr>
        <w:tab/>
      </w:r>
      <w:r w:rsidR="00CA09C2">
        <w:rPr>
          <w:rFonts w:ascii="Arial" w:hAnsi="Arial" w:cs="Arial"/>
          <w:b/>
          <w:bCs/>
          <w:i/>
          <w:iCs/>
          <w:sz w:val="22"/>
          <w:szCs w:val="22"/>
          <w:lang w:eastAsia="en-GB"/>
        </w:rPr>
        <w:t xml:space="preserve">   </w:t>
      </w:r>
      <w:r w:rsidR="00CA09C2">
        <w:rPr>
          <w:rFonts w:ascii="Arial" w:hAnsi="Arial" w:cs="Arial"/>
          <w:b/>
          <w:bCs/>
          <w:i/>
          <w:iCs/>
          <w:sz w:val="22"/>
          <w:szCs w:val="22"/>
          <w:lang w:eastAsia="en-GB"/>
        </w:rPr>
        <w:tab/>
      </w:r>
      <w:r w:rsidR="00F15D12">
        <w:rPr>
          <w:rFonts w:ascii="Arial" w:hAnsi="Arial" w:cs="Arial"/>
          <w:b/>
          <w:bCs/>
          <w:i/>
          <w:iCs/>
          <w:sz w:val="22"/>
          <w:szCs w:val="22"/>
          <w:lang w:eastAsia="en-GB"/>
        </w:rPr>
        <w:t>9</w:t>
      </w:r>
      <w:r w:rsidR="00F15D12" w:rsidRPr="00F15D12">
        <w:rPr>
          <w:rFonts w:ascii="Arial" w:hAnsi="Arial" w:cs="Arial"/>
          <w:b/>
          <w:bCs/>
          <w:i/>
          <w:iCs/>
          <w:sz w:val="22"/>
          <w:szCs w:val="22"/>
          <w:vertAlign w:val="superscript"/>
          <w:lang w:eastAsia="en-GB"/>
        </w:rPr>
        <w:t>th</w:t>
      </w:r>
      <w:r w:rsidR="00F15D12">
        <w:rPr>
          <w:rFonts w:ascii="Arial" w:hAnsi="Arial" w:cs="Arial"/>
          <w:b/>
          <w:bCs/>
          <w:i/>
          <w:iCs/>
          <w:sz w:val="22"/>
          <w:szCs w:val="22"/>
          <w:lang w:eastAsia="en-GB"/>
        </w:rPr>
        <w:t xml:space="preserve"> </w:t>
      </w:r>
      <w:r w:rsidRPr="00CA09C2">
        <w:rPr>
          <w:rFonts w:ascii="Arial" w:hAnsi="Arial" w:cs="Arial"/>
          <w:b/>
          <w:bCs/>
          <w:i/>
          <w:iCs/>
          <w:sz w:val="22"/>
          <w:szCs w:val="22"/>
          <w:lang w:eastAsia="en-GB"/>
        </w:rPr>
        <w:t>September 202</w:t>
      </w:r>
      <w:r w:rsidR="00C1601D">
        <w:rPr>
          <w:rFonts w:ascii="Arial" w:hAnsi="Arial" w:cs="Arial"/>
          <w:b/>
          <w:bCs/>
          <w:i/>
          <w:iCs/>
          <w:sz w:val="22"/>
          <w:szCs w:val="22"/>
          <w:lang w:eastAsia="en-GB"/>
        </w:rPr>
        <w:t>5</w:t>
      </w:r>
    </w:p>
    <w:sectPr w:rsidR="006F7659" w:rsidRPr="001A63EC" w:rsidSect="005832CE">
      <w:pgSz w:w="11906" w:h="16838"/>
      <w:pgMar w:top="993" w:right="1134" w:bottom="993"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21E2F" w14:textId="77777777" w:rsidR="00C33723" w:rsidRDefault="00C33723" w:rsidP="00CB1BB3">
      <w:r>
        <w:separator/>
      </w:r>
    </w:p>
  </w:endnote>
  <w:endnote w:type="continuationSeparator" w:id="0">
    <w:p w14:paraId="1BBC2894" w14:textId="77777777" w:rsidR="00C33723" w:rsidRDefault="00C33723" w:rsidP="00CB1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060167"/>
      <w:docPartObj>
        <w:docPartGallery w:val="Page Numbers (Bottom of Page)"/>
        <w:docPartUnique/>
      </w:docPartObj>
    </w:sdtPr>
    <w:sdtEndPr>
      <w:rPr>
        <w:noProof/>
      </w:rPr>
    </w:sdtEndPr>
    <w:sdtContent>
      <w:p w14:paraId="628287BA" w14:textId="10E8D78B" w:rsidR="00CA09C2" w:rsidRDefault="00CA09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F3392C" w14:textId="286949A7" w:rsidR="00FA5A12" w:rsidRDefault="00FA5A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010422"/>
      <w:docPartObj>
        <w:docPartGallery w:val="Page Numbers (Bottom of Page)"/>
        <w:docPartUnique/>
      </w:docPartObj>
    </w:sdtPr>
    <w:sdtEndPr>
      <w:rPr>
        <w:noProof/>
      </w:rPr>
    </w:sdtEndPr>
    <w:sdtContent>
      <w:p w14:paraId="3F6B077E" w14:textId="29A83324" w:rsidR="00CA09C2" w:rsidRDefault="00CA09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1C12E3" w14:textId="78005287" w:rsidR="00FA5A12" w:rsidRPr="0016754E" w:rsidRDefault="00FA5A12" w:rsidP="00B1260F">
    <w:pPr>
      <w:pStyle w:val="Footer"/>
      <w:rPr>
        <w:rFonts w:ascii="Arial" w:hAnsi="Arial" w:cs="Arial"/>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2BED0" w14:textId="77777777" w:rsidR="00C33723" w:rsidRDefault="00C33723" w:rsidP="00CB1BB3">
      <w:r>
        <w:separator/>
      </w:r>
    </w:p>
  </w:footnote>
  <w:footnote w:type="continuationSeparator" w:id="0">
    <w:p w14:paraId="50320D73" w14:textId="77777777" w:rsidR="00C33723" w:rsidRDefault="00C33723" w:rsidP="00CB1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B2FC8" w14:textId="77777777" w:rsidR="00FA5A12" w:rsidRDefault="00FA5A12" w:rsidP="007A18BA">
    <w:pPr>
      <w:pStyle w:val="Header"/>
      <w:jc w:val="right"/>
    </w:pPr>
    <w:r>
      <w:rPr>
        <w:noProof/>
        <w:lang w:val="en-GB" w:eastAsia="en-GB"/>
      </w:rPr>
      <w:drawing>
        <wp:inline distT="0" distB="0" distL="0" distR="0" wp14:anchorId="2E34F7D6" wp14:editId="41148E3B">
          <wp:extent cx="5731510" cy="643697"/>
          <wp:effectExtent l="0" t="0" r="254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HNHSFT-Black-Top.jpg"/>
                  <pic:cNvPicPr/>
                </pic:nvPicPr>
                <pic:blipFill>
                  <a:blip r:embed="rId1">
                    <a:extLst>
                      <a:ext uri="{28A0092B-C50C-407E-A947-70E740481C1C}">
                        <a14:useLocalDpi xmlns:a14="http://schemas.microsoft.com/office/drawing/2010/main" val="0"/>
                      </a:ext>
                    </a:extLst>
                  </a:blip>
                  <a:stretch>
                    <a:fillRect/>
                  </a:stretch>
                </pic:blipFill>
                <pic:spPr>
                  <a:xfrm>
                    <a:off x="0" y="0"/>
                    <a:ext cx="5731510" cy="6436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D9D"/>
    <w:multiLevelType w:val="multilevel"/>
    <w:tmpl w:val="667AB64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CB72BF"/>
    <w:multiLevelType w:val="hybridMultilevel"/>
    <w:tmpl w:val="98DEE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2250AA"/>
    <w:multiLevelType w:val="hybridMultilevel"/>
    <w:tmpl w:val="AEFC9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A0544"/>
    <w:multiLevelType w:val="hybridMultilevel"/>
    <w:tmpl w:val="71A8B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A3868"/>
    <w:multiLevelType w:val="hybridMultilevel"/>
    <w:tmpl w:val="547A3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0A3B7E"/>
    <w:multiLevelType w:val="multilevel"/>
    <w:tmpl w:val="005AB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9A5F1E"/>
    <w:multiLevelType w:val="hybridMultilevel"/>
    <w:tmpl w:val="CE400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654BA0"/>
    <w:multiLevelType w:val="hybridMultilevel"/>
    <w:tmpl w:val="DAC0A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5B7F3A"/>
    <w:multiLevelType w:val="hybridMultilevel"/>
    <w:tmpl w:val="3C5E2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B80A53"/>
    <w:multiLevelType w:val="multilevel"/>
    <w:tmpl w:val="A7FC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B45034"/>
    <w:multiLevelType w:val="hybridMultilevel"/>
    <w:tmpl w:val="3C643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321CCF"/>
    <w:multiLevelType w:val="hybridMultilevel"/>
    <w:tmpl w:val="C2E0A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6834A9"/>
    <w:multiLevelType w:val="multilevel"/>
    <w:tmpl w:val="F50A1572"/>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227783"/>
    <w:multiLevelType w:val="hybridMultilevel"/>
    <w:tmpl w:val="03202CBC"/>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CC3736"/>
    <w:multiLevelType w:val="hybridMultilevel"/>
    <w:tmpl w:val="C172D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30328C"/>
    <w:multiLevelType w:val="multilevel"/>
    <w:tmpl w:val="B70250F4"/>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314A1D"/>
    <w:multiLevelType w:val="hybridMultilevel"/>
    <w:tmpl w:val="0A885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9B4D2B"/>
    <w:multiLevelType w:val="hybridMultilevel"/>
    <w:tmpl w:val="4E00A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99540B"/>
    <w:multiLevelType w:val="multilevel"/>
    <w:tmpl w:val="026C28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11B6AE4"/>
    <w:multiLevelType w:val="hybridMultilevel"/>
    <w:tmpl w:val="EFA4E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9061F8"/>
    <w:multiLevelType w:val="multilevel"/>
    <w:tmpl w:val="4DE265DE"/>
    <w:lvl w:ilvl="0">
      <w:start w:val="1"/>
      <w:numFmt w:val="decimal"/>
      <w:lvlText w:val="%1."/>
      <w:lvlJc w:val="left"/>
      <w:pPr>
        <w:ind w:left="786" w:hanging="360"/>
      </w:pPr>
      <w:rPr>
        <w:rFonts w:hint="default"/>
        <w:b/>
        <w:bCs/>
      </w:rPr>
    </w:lvl>
    <w:lvl w:ilvl="1">
      <w:start w:val="2"/>
      <w:numFmt w:val="decimal"/>
      <w:isLgl/>
      <w:lvlText w:val="%1.%2"/>
      <w:lvlJc w:val="left"/>
      <w:pPr>
        <w:ind w:left="796" w:hanging="37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146" w:hanging="72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506" w:hanging="108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1866" w:hanging="1440"/>
      </w:pPr>
      <w:rPr>
        <w:rFonts w:hint="default"/>
        <w:b/>
      </w:rPr>
    </w:lvl>
    <w:lvl w:ilvl="8">
      <w:start w:val="1"/>
      <w:numFmt w:val="decimal"/>
      <w:isLgl/>
      <w:lvlText w:val="%1.%2.%3.%4.%5.%6.%7.%8.%9"/>
      <w:lvlJc w:val="left"/>
      <w:pPr>
        <w:ind w:left="2226" w:hanging="1800"/>
      </w:pPr>
      <w:rPr>
        <w:rFonts w:hint="default"/>
        <w:b/>
      </w:rPr>
    </w:lvl>
  </w:abstractNum>
  <w:abstractNum w:abstractNumId="21" w15:restartNumberingAfterBreak="0">
    <w:nsid w:val="460B57E9"/>
    <w:multiLevelType w:val="hybridMultilevel"/>
    <w:tmpl w:val="5A5E3B88"/>
    <w:lvl w:ilvl="0" w:tplc="011600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716567A"/>
    <w:multiLevelType w:val="hybridMultilevel"/>
    <w:tmpl w:val="8580EB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7A75B9"/>
    <w:multiLevelType w:val="hybridMultilevel"/>
    <w:tmpl w:val="C9D81F3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F90780"/>
    <w:multiLevelType w:val="hybridMultilevel"/>
    <w:tmpl w:val="7F4051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9D7772"/>
    <w:multiLevelType w:val="multilevel"/>
    <w:tmpl w:val="01542FD6"/>
    <w:lvl w:ilvl="0">
      <w:start w:val="1"/>
      <w:numFmt w:val="decimal"/>
      <w:lvlText w:val="%1."/>
      <w:lvlJc w:val="left"/>
      <w:pPr>
        <w:ind w:left="720" w:hanging="360"/>
      </w:pPr>
      <w:rPr>
        <w:rFonts w:hint="default"/>
      </w:rPr>
    </w:lvl>
    <w:lvl w:ilvl="1">
      <w:start w:val="3"/>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D200605"/>
    <w:multiLevelType w:val="hybridMultilevel"/>
    <w:tmpl w:val="340E873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631AAC"/>
    <w:multiLevelType w:val="hybridMultilevel"/>
    <w:tmpl w:val="5EBE24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6A5B6C"/>
    <w:multiLevelType w:val="hybridMultilevel"/>
    <w:tmpl w:val="992CCF38"/>
    <w:lvl w:ilvl="0" w:tplc="08090001">
      <w:start w:val="1"/>
      <w:numFmt w:val="bullet"/>
      <w:lvlText w:val=""/>
      <w:lvlJc w:val="left"/>
      <w:pPr>
        <w:ind w:left="720" w:hanging="360"/>
      </w:pPr>
      <w:rPr>
        <w:rFonts w:ascii="Symbol" w:hAnsi="Symbol" w:hint="default"/>
      </w:rPr>
    </w:lvl>
    <w:lvl w:ilvl="1" w:tplc="569C2D14">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2A1389"/>
    <w:multiLevelType w:val="hybridMultilevel"/>
    <w:tmpl w:val="53681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F1622E"/>
    <w:multiLevelType w:val="hybridMultilevel"/>
    <w:tmpl w:val="BADE7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980D1E"/>
    <w:multiLevelType w:val="multilevel"/>
    <w:tmpl w:val="C10A2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D7C3167"/>
    <w:multiLevelType w:val="hybridMultilevel"/>
    <w:tmpl w:val="EC7C0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997890"/>
    <w:multiLevelType w:val="hybridMultilevel"/>
    <w:tmpl w:val="1016901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15:restartNumberingAfterBreak="0">
    <w:nsid w:val="606D0934"/>
    <w:multiLevelType w:val="hybridMultilevel"/>
    <w:tmpl w:val="A60A7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9E6155"/>
    <w:multiLevelType w:val="hybridMultilevel"/>
    <w:tmpl w:val="696A8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07446A"/>
    <w:multiLevelType w:val="hybridMultilevel"/>
    <w:tmpl w:val="D110D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674D63"/>
    <w:multiLevelType w:val="hybridMultilevel"/>
    <w:tmpl w:val="2576A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FB07A2"/>
    <w:multiLevelType w:val="hybridMultilevel"/>
    <w:tmpl w:val="E02ED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D350BF"/>
    <w:multiLevelType w:val="hybridMultilevel"/>
    <w:tmpl w:val="4A12F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342681">
    <w:abstractNumId w:val="20"/>
  </w:num>
  <w:num w:numId="2" w16cid:durableId="2098935455">
    <w:abstractNumId w:val="23"/>
  </w:num>
  <w:num w:numId="3" w16cid:durableId="2044279270">
    <w:abstractNumId w:val="0"/>
  </w:num>
  <w:num w:numId="4" w16cid:durableId="1676953470">
    <w:abstractNumId w:val="28"/>
  </w:num>
  <w:num w:numId="5" w16cid:durableId="608246912">
    <w:abstractNumId w:val="33"/>
  </w:num>
  <w:num w:numId="6" w16cid:durableId="201092466">
    <w:abstractNumId w:val="26"/>
  </w:num>
  <w:num w:numId="7" w16cid:durableId="632758639">
    <w:abstractNumId w:val="36"/>
  </w:num>
  <w:num w:numId="8" w16cid:durableId="1062411062">
    <w:abstractNumId w:val="14"/>
  </w:num>
  <w:num w:numId="9" w16cid:durableId="733311529">
    <w:abstractNumId w:val="22"/>
  </w:num>
  <w:num w:numId="10" w16cid:durableId="1326938895">
    <w:abstractNumId w:val="3"/>
  </w:num>
  <w:num w:numId="11" w16cid:durableId="1266033892">
    <w:abstractNumId w:val="35"/>
  </w:num>
  <w:num w:numId="12" w16cid:durableId="1452242013">
    <w:abstractNumId w:val="30"/>
  </w:num>
  <w:num w:numId="13" w16cid:durableId="131096677">
    <w:abstractNumId w:val="16"/>
  </w:num>
  <w:num w:numId="14" w16cid:durableId="118960744">
    <w:abstractNumId w:val="25"/>
  </w:num>
  <w:num w:numId="15" w16cid:durableId="569849177">
    <w:abstractNumId w:val="11"/>
  </w:num>
  <w:num w:numId="16" w16cid:durableId="1174298933">
    <w:abstractNumId w:val="2"/>
  </w:num>
  <w:num w:numId="17" w16cid:durableId="455412525">
    <w:abstractNumId w:val="13"/>
  </w:num>
  <w:num w:numId="18" w16cid:durableId="1837648766">
    <w:abstractNumId w:val="29"/>
  </w:num>
  <w:num w:numId="19" w16cid:durableId="10109899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1870558">
    <w:abstractNumId w:val="24"/>
  </w:num>
  <w:num w:numId="21" w16cid:durableId="1660814853">
    <w:abstractNumId w:val="10"/>
  </w:num>
  <w:num w:numId="22" w16cid:durableId="554514576">
    <w:abstractNumId w:val="17"/>
  </w:num>
  <w:num w:numId="23" w16cid:durableId="1766924593">
    <w:abstractNumId w:val="7"/>
  </w:num>
  <w:num w:numId="24" w16cid:durableId="2085564639">
    <w:abstractNumId w:val="4"/>
  </w:num>
  <w:num w:numId="25" w16cid:durableId="1746341184">
    <w:abstractNumId w:val="39"/>
  </w:num>
  <w:num w:numId="26" w16cid:durableId="1054743376">
    <w:abstractNumId w:val="21"/>
  </w:num>
  <w:num w:numId="27" w16cid:durableId="23873859">
    <w:abstractNumId w:val="34"/>
  </w:num>
  <w:num w:numId="28" w16cid:durableId="950208098">
    <w:abstractNumId w:val="37"/>
  </w:num>
  <w:num w:numId="29" w16cid:durableId="1056196088">
    <w:abstractNumId w:val="6"/>
  </w:num>
  <w:num w:numId="30" w16cid:durableId="573853547">
    <w:abstractNumId w:val="38"/>
  </w:num>
  <w:num w:numId="31" w16cid:durableId="176431522">
    <w:abstractNumId w:val="15"/>
  </w:num>
  <w:num w:numId="32" w16cid:durableId="2091611353">
    <w:abstractNumId w:val="1"/>
  </w:num>
  <w:num w:numId="33" w16cid:durableId="1104499594">
    <w:abstractNumId w:val="27"/>
  </w:num>
  <w:num w:numId="34" w16cid:durableId="316811245">
    <w:abstractNumId w:val="12"/>
  </w:num>
  <w:num w:numId="35" w16cid:durableId="256132744">
    <w:abstractNumId w:val="31"/>
  </w:num>
  <w:num w:numId="36" w16cid:durableId="1858274103">
    <w:abstractNumId w:val="9"/>
  </w:num>
  <w:num w:numId="37" w16cid:durableId="2114665251">
    <w:abstractNumId w:val="5"/>
  </w:num>
  <w:num w:numId="38" w16cid:durableId="1593196161">
    <w:abstractNumId w:val="8"/>
  </w:num>
  <w:num w:numId="39" w16cid:durableId="1374842599">
    <w:abstractNumId w:val="32"/>
  </w:num>
  <w:num w:numId="40" w16cid:durableId="405147823">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17C"/>
    <w:rsid w:val="00000E5C"/>
    <w:rsid w:val="00001033"/>
    <w:rsid w:val="00004F06"/>
    <w:rsid w:val="00011266"/>
    <w:rsid w:val="000113DA"/>
    <w:rsid w:val="00013186"/>
    <w:rsid w:val="00014E5E"/>
    <w:rsid w:val="000152F1"/>
    <w:rsid w:val="00023C09"/>
    <w:rsid w:val="00025F88"/>
    <w:rsid w:val="000261C8"/>
    <w:rsid w:val="00041DB2"/>
    <w:rsid w:val="00041E9A"/>
    <w:rsid w:val="00042099"/>
    <w:rsid w:val="00042AA8"/>
    <w:rsid w:val="00043377"/>
    <w:rsid w:val="0005008D"/>
    <w:rsid w:val="00051B99"/>
    <w:rsid w:val="000546FA"/>
    <w:rsid w:val="00055908"/>
    <w:rsid w:val="00057BE1"/>
    <w:rsid w:val="00061A8D"/>
    <w:rsid w:val="000657AE"/>
    <w:rsid w:val="00074263"/>
    <w:rsid w:val="000769B8"/>
    <w:rsid w:val="00084590"/>
    <w:rsid w:val="00084839"/>
    <w:rsid w:val="00091872"/>
    <w:rsid w:val="00091E0F"/>
    <w:rsid w:val="00093669"/>
    <w:rsid w:val="000957FE"/>
    <w:rsid w:val="000960A1"/>
    <w:rsid w:val="00096C72"/>
    <w:rsid w:val="000A50E8"/>
    <w:rsid w:val="000B053D"/>
    <w:rsid w:val="000C0BDF"/>
    <w:rsid w:val="000C223A"/>
    <w:rsid w:val="000C3A32"/>
    <w:rsid w:val="000C49E3"/>
    <w:rsid w:val="000C550A"/>
    <w:rsid w:val="000C688F"/>
    <w:rsid w:val="000D1FC6"/>
    <w:rsid w:val="000D40E2"/>
    <w:rsid w:val="000D67B2"/>
    <w:rsid w:val="000E19C1"/>
    <w:rsid w:val="000F05BE"/>
    <w:rsid w:val="00115338"/>
    <w:rsid w:val="0011610D"/>
    <w:rsid w:val="00117D49"/>
    <w:rsid w:val="00120A7E"/>
    <w:rsid w:val="001228C2"/>
    <w:rsid w:val="0012399D"/>
    <w:rsid w:val="00126B7A"/>
    <w:rsid w:val="00131BD0"/>
    <w:rsid w:val="001331F1"/>
    <w:rsid w:val="00135FB2"/>
    <w:rsid w:val="00136D9B"/>
    <w:rsid w:val="00137F0E"/>
    <w:rsid w:val="0014591A"/>
    <w:rsid w:val="00145EBA"/>
    <w:rsid w:val="00154618"/>
    <w:rsid w:val="00155FFA"/>
    <w:rsid w:val="00160332"/>
    <w:rsid w:val="00165C20"/>
    <w:rsid w:val="0016624F"/>
    <w:rsid w:val="00166F5E"/>
    <w:rsid w:val="0016754E"/>
    <w:rsid w:val="001704C6"/>
    <w:rsid w:val="00175368"/>
    <w:rsid w:val="001815FF"/>
    <w:rsid w:val="00184061"/>
    <w:rsid w:val="00185536"/>
    <w:rsid w:val="0019112D"/>
    <w:rsid w:val="00191DDA"/>
    <w:rsid w:val="001938DF"/>
    <w:rsid w:val="00195FC5"/>
    <w:rsid w:val="00197421"/>
    <w:rsid w:val="001A083E"/>
    <w:rsid w:val="001A59F4"/>
    <w:rsid w:val="001A63EC"/>
    <w:rsid w:val="001C0C2C"/>
    <w:rsid w:val="001C224F"/>
    <w:rsid w:val="001C7FC0"/>
    <w:rsid w:val="001D2566"/>
    <w:rsid w:val="001D35F0"/>
    <w:rsid w:val="001E411A"/>
    <w:rsid w:val="001F6F7E"/>
    <w:rsid w:val="00203BD4"/>
    <w:rsid w:val="002055AA"/>
    <w:rsid w:val="00212916"/>
    <w:rsid w:val="00212E77"/>
    <w:rsid w:val="002259DD"/>
    <w:rsid w:val="00226033"/>
    <w:rsid w:val="002275F8"/>
    <w:rsid w:val="00233A4D"/>
    <w:rsid w:val="00233E60"/>
    <w:rsid w:val="002417A6"/>
    <w:rsid w:val="002447C3"/>
    <w:rsid w:val="00246C63"/>
    <w:rsid w:val="002476BB"/>
    <w:rsid w:val="002526AC"/>
    <w:rsid w:val="00257D6F"/>
    <w:rsid w:val="00260E01"/>
    <w:rsid w:val="00261B5D"/>
    <w:rsid w:val="00262C5D"/>
    <w:rsid w:val="00271852"/>
    <w:rsid w:val="00283B64"/>
    <w:rsid w:val="002865C3"/>
    <w:rsid w:val="002911A9"/>
    <w:rsid w:val="00293E07"/>
    <w:rsid w:val="00295CCC"/>
    <w:rsid w:val="002975FB"/>
    <w:rsid w:val="002B0307"/>
    <w:rsid w:val="002B0918"/>
    <w:rsid w:val="002B0DA6"/>
    <w:rsid w:val="002B19AB"/>
    <w:rsid w:val="002B5156"/>
    <w:rsid w:val="002C0D14"/>
    <w:rsid w:val="002C2440"/>
    <w:rsid w:val="002C6E89"/>
    <w:rsid w:val="002D2A03"/>
    <w:rsid w:val="002D40C0"/>
    <w:rsid w:val="002E0A4D"/>
    <w:rsid w:val="002E31A7"/>
    <w:rsid w:val="002E4715"/>
    <w:rsid w:val="002E6D97"/>
    <w:rsid w:val="002F1BBE"/>
    <w:rsid w:val="002F5067"/>
    <w:rsid w:val="002F5C8A"/>
    <w:rsid w:val="00310132"/>
    <w:rsid w:val="0031159C"/>
    <w:rsid w:val="00311BDC"/>
    <w:rsid w:val="0032454F"/>
    <w:rsid w:val="00324A0C"/>
    <w:rsid w:val="00324CE6"/>
    <w:rsid w:val="003265A7"/>
    <w:rsid w:val="0033021A"/>
    <w:rsid w:val="00341B60"/>
    <w:rsid w:val="0034443D"/>
    <w:rsid w:val="00350DD9"/>
    <w:rsid w:val="0035285B"/>
    <w:rsid w:val="00361506"/>
    <w:rsid w:val="00362CCC"/>
    <w:rsid w:val="0036353C"/>
    <w:rsid w:val="003665F1"/>
    <w:rsid w:val="00373569"/>
    <w:rsid w:val="00373B26"/>
    <w:rsid w:val="00382EBF"/>
    <w:rsid w:val="00384FF7"/>
    <w:rsid w:val="003963C1"/>
    <w:rsid w:val="003A4941"/>
    <w:rsid w:val="003A69D0"/>
    <w:rsid w:val="003B060A"/>
    <w:rsid w:val="003B5B39"/>
    <w:rsid w:val="003B7CA3"/>
    <w:rsid w:val="003C14B7"/>
    <w:rsid w:val="003C150D"/>
    <w:rsid w:val="003C27D4"/>
    <w:rsid w:val="003C3564"/>
    <w:rsid w:val="003D10CE"/>
    <w:rsid w:val="003D547D"/>
    <w:rsid w:val="003D6577"/>
    <w:rsid w:val="003E1A8D"/>
    <w:rsid w:val="003E34F1"/>
    <w:rsid w:val="003F138C"/>
    <w:rsid w:val="003F4F0F"/>
    <w:rsid w:val="003F6BC6"/>
    <w:rsid w:val="003F71D4"/>
    <w:rsid w:val="00406F3A"/>
    <w:rsid w:val="00407771"/>
    <w:rsid w:val="004257C2"/>
    <w:rsid w:val="00430995"/>
    <w:rsid w:val="004416D5"/>
    <w:rsid w:val="00442C50"/>
    <w:rsid w:val="00452CE4"/>
    <w:rsid w:val="004537C7"/>
    <w:rsid w:val="00454F2B"/>
    <w:rsid w:val="00465B6C"/>
    <w:rsid w:val="00471DFD"/>
    <w:rsid w:val="00483B30"/>
    <w:rsid w:val="0048416E"/>
    <w:rsid w:val="00485799"/>
    <w:rsid w:val="00492C5F"/>
    <w:rsid w:val="004944B9"/>
    <w:rsid w:val="004954E1"/>
    <w:rsid w:val="004975C5"/>
    <w:rsid w:val="004A3090"/>
    <w:rsid w:val="004A4C25"/>
    <w:rsid w:val="004A73C5"/>
    <w:rsid w:val="004B2D3D"/>
    <w:rsid w:val="004B5E6C"/>
    <w:rsid w:val="004C2628"/>
    <w:rsid w:val="004C54AA"/>
    <w:rsid w:val="004C7EBC"/>
    <w:rsid w:val="004D1FBC"/>
    <w:rsid w:val="004D2E59"/>
    <w:rsid w:val="004D3A48"/>
    <w:rsid w:val="004D40DC"/>
    <w:rsid w:val="004D49B6"/>
    <w:rsid w:val="004E2C7E"/>
    <w:rsid w:val="004E5E7A"/>
    <w:rsid w:val="004F00E6"/>
    <w:rsid w:val="004F3275"/>
    <w:rsid w:val="00502CA9"/>
    <w:rsid w:val="0050544C"/>
    <w:rsid w:val="00505FC2"/>
    <w:rsid w:val="00511614"/>
    <w:rsid w:val="0052259B"/>
    <w:rsid w:val="00523A3A"/>
    <w:rsid w:val="00526C29"/>
    <w:rsid w:val="00530391"/>
    <w:rsid w:val="0054183E"/>
    <w:rsid w:val="005543B9"/>
    <w:rsid w:val="005572EA"/>
    <w:rsid w:val="005629C9"/>
    <w:rsid w:val="0056330B"/>
    <w:rsid w:val="0058010F"/>
    <w:rsid w:val="00580383"/>
    <w:rsid w:val="005805E5"/>
    <w:rsid w:val="00580C3E"/>
    <w:rsid w:val="005814A4"/>
    <w:rsid w:val="005832CE"/>
    <w:rsid w:val="005878DF"/>
    <w:rsid w:val="0059431E"/>
    <w:rsid w:val="005969DA"/>
    <w:rsid w:val="005A11D4"/>
    <w:rsid w:val="005A19F7"/>
    <w:rsid w:val="005B0653"/>
    <w:rsid w:val="005C0A73"/>
    <w:rsid w:val="005C4668"/>
    <w:rsid w:val="005C60BC"/>
    <w:rsid w:val="005C7C2D"/>
    <w:rsid w:val="005D11C1"/>
    <w:rsid w:val="005D1F82"/>
    <w:rsid w:val="005D317D"/>
    <w:rsid w:val="005D5289"/>
    <w:rsid w:val="005D5B17"/>
    <w:rsid w:val="005D77D9"/>
    <w:rsid w:val="005E55C3"/>
    <w:rsid w:val="005E5FA4"/>
    <w:rsid w:val="005F129D"/>
    <w:rsid w:val="005F21F3"/>
    <w:rsid w:val="005F3CC2"/>
    <w:rsid w:val="005F6F38"/>
    <w:rsid w:val="005F7A6C"/>
    <w:rsid w:val="00601614"/>
    <w:rsid w:val="00607F1F"/>
    <w:rsid w:val="00615D29"/>
    <w:rsid w:val="00617679"/>
    <w:rsid w:val="00625714"/>
    <w:rsid w:val="00625EEF"/>
    <w:rsid w:val="006317C3"/>
    <w:rsid w:val="00637F37"/>
    <w:rsid w:val="00646B12"/>
    <w:rsid w:val="006475FA"/>
    <w:rsid w:val="006538D2"/>
    <w:rsid w:val="00653E48"/>
    <w:rsid w:val="00661146"/>
    <w:rsid w:val="0066392B"/>
    <w:rsid w:val="00670A3A"/>
    <w:rsid w:val="00671AAE"/>
    <w:rsid w:val="00675313"/>
    <w:rsid w:val="0067749D"/>
    <w:rsid w:val="0068223E"/>
    <w:rsid w:val="0068364B"/>
    <w:rsid w:val="00684EFC"/>
    <w:rsid w:val="00687B65"/>
    <w:rsid w:val="006A4533"/>
    <w:rsid w:val="006A6310"/>
    <w:rsid w:val="006B0D91"/>
    <w:rsid w:val="006B7D34"/>
    <w:rsid w:val="006C0359"/>
    <w:rsid w:val="006C33B1"/>
    <w:rsid w:val="006C558A"/>
    <w:rsid w:val="006D3610"/>
    <w:rsid w:val="006D45D6"/>
    <w:rsid w:val="006D5519"/>
    <w:rsid w:val="006D5A2B"/>
    <w:rsid w:val="006D7B79"/>
    <w:rsid w:val="006E32DC"/>
    <w:rsid w:val="006E57E5"/>
    <w:rsid w:val="006F7659"/>
    <w:rsid w:val="007025D9"/>
    <w:rsid w:val="00704D89"/>
    <w:rsid w:val="00710497"/>
    <w:rsid w:val="007128B1"/>
    <w:rsid w:val="007132EC"/>
    <w:rsid w:val="00714438"/>
    <w:rsid w:val="00715806"/>
    <w:rsid w:val="0071588E"/>
    <w:rsid w:val="00717A79"/>
    <w:rsid w:val="007249A5"/>
    <w:rsid w:val="007255F6"/>
    <w:rsid w:val="00732155"/>
    <w:rsid w:val="0074081E"/>
    <w:rsid w:val="007476F1"/>
    <w:rsid w:val="00751FB0"/>
    <w:rsid w:val="00761818"/>
    <w:rsid w:val="00764B82"/>
    <w:rsid w:val="00770912"/>
    <w:rsid w:val="00771CBC"/>
    <w:rsid w:val="00772AC8"/>
    <w:rsid w:val="00773568"/>
    <w:rsid w:val="00773A57"/>
    <w:rsid w:val="00775280"/>
    <w:rsid w:val="0078341A"/>
    <w:rsid w:val="00787CD4"/>
    <w:rsid w:val="0079392B"/>
    <w:rsid w:val="00796399"/>
    <w:rsid w:val="00797BAB"/>
    <w:rsid w:val="007A15C4"/>
    <w:rsid w:val="007A18BA"/>
    <w:rsid w:val="007A5FFD"/>
    <w:rsid w:val="007B635C"/>
    <w:rsid w:val="007C2162"/>
    <w:rsid w:val="007C3667"/>
    <w:rsid w:val="007C48F3"/>
    <w:rsid w:val="007C4E20"/>
    <w:rsid w:val="007D1511"/>
    <w:rsid w:val="007D3975"/>
    <w:rsid w:val="007D5DD6"/>
    <w:rsid w:val="007E0341"/>
    <w:rsid w:val="007E1424"/>
    <w:rsid w:val="007E1707"/>
    <w:rsid w:val="007E1966"/>
    <w:rsid w:val="007E271F"/>
    <w:rsid w:val="007E62AF"/>
    <w:rsid w:val="007F064C"/>
    <w:rsid w:val="007F4D74"/>
    <w:rsid w:val="007F6A4A"/>
    <w:rsid w:val="00805A79"/>
    <w:rsid w:val="00814855"/>
    <w:rsid w:val="00817F58"/>
    <w:rsid w:val="008202AB"/>
    <w:rsid w:val="008259AB"/>
    <w:rsid w:val="0083060B"/>
    <w:rsid w:val="00833E35"/>
    <w:rsid w:val="0083645A"/>
    <w:rsid w:val="00837BB5"/>
    <w:rsid w:val="00853DBF"/>
    <w:rsid w:val="00853E85"/>
    <w:rsid w:val="00854E98"/>
    <w:rsid w:val="00860B04"/>
    <w:rsid w:val="00872DBA"/>
    <w:rsid w:val="00872DF0"/>
    <w:rsid w:val="00873588"/>
    <w:rsid w:val="00874280"/>
    <w:rsid w:val="0087672E"/>
    <w:rsid w:val="00881E4C"/>
    <w:rsid w:val="00884243"/>
    <w:rsid w:val="008842D6"/>
    <w:rsid w:val="00884D76"/>
    <w:rsid w:val="008879F4"/>
    <w:rsid w:val="008A29BD"/>
    <w:rsid w:val="008A7E15"/>
    <w:rsid w:val="008B2C57"/>
    <w:rsid w:val="008B2DF7"/>
    <w:rsid w:val="008C2E90"/>
    <w:rsid w:val="008C37D5"/>
    <w:rsid w:val="008C6BA9"/>
    <w:rsid w:val="008E4A7A"/>
    <w:rsid w:val="008E728F"/>
    <w:rsid w:val="008E7B5B"/>
    <w:rsid w:val="008F2A9D"/>
    <w:rsid w:val="008F2D19"/>
    <w:rsid w:val="008F35B9"/>
    <w:rsid w:val="008F758B"/>
    <w:rsid w:val="00901AC2"/>
    <w:rsid w:val="009056B9"/>
    <w:rsid w:val="00917A7B"/>
    <w:rsid w:val="009204E8"/>
    <w:rsid w:val="00920B2B"/>
    <w:rsid w:val="0092178A"/>
    <w:rsid w:val="00925B15"/>
    <w:rsid w:val="00933DFE"/>
    <w:rsid w:val="00934C6C"/>
    <w:rsid w:val="00934D47"/>
    <w:rsid w:val="00936C1E"/>
    <w:rsid w:val="00941D37"/>
    <w:rsid w:val="009468DD"/>
    <w:rsid w:val="00950F24"/>
    <w:rsid w:val="00953077"/>
    <w:rsid w:val="00956A10"/>
    <w:rsid w:val="00963C5F"/>
    <w:rsid w:val="00973218"/>
    <w:rsid w:val="00973C4E"/>
    <w:rsid w:val="009747E4"/>
    <w:rsid w:val="00977BF5"/>
    <w:rsid w:val="00980705"/>
    <w:rsid w:val="009A0BCC"/>
    <w:rsid w:val="009A14FB"/>
    <w:rsid w:val="009A5A42"/>
    <w:rsid w:val="009A5AAF"/>
    <w:rsid w:val="009A5F81"/>
    <w:rsid w:val="009B2D31"/>
    <w:rsid w:val="009C0093"/>
    <w:rsid w:val="009C07AC"/>
    <w:rsid w:val="009C4620"/>
    <w:rsid w:val="009C4EB6"/>
    <w:rsid w:val="009D0296"/>
    <w:rsid w:val="009D4008"/>
    <w:rsid w:val="009D4256"/>
    <w:rsid w:val="009D65C3"/>
    <w:rsid w:val="009D7A03"/>
    <w:rsid w:val="009E356A"/>
    <w:rsid w:val="009F17B7"/>
    <w:rsid w:val="009F18E9"/>
    <w:rsid w:val="009F6972"/>
    <w:rsid w:val="009F7A46"/>
    <w:rsid w:val="00A24930"/>
    <w:rsid w:val="00A25A04"/>
    <w:rsid w:val="00A30A7A"/>
    <w:rsid w:val="00A326E1"/>
    <w:rsid w:val="00A32B06"/>
    <w:rsid w:val="00A40B6F"/>
    <w:rsid w:val="00A435E4"/>
    <w:rsid w:val="00A44CEB"/>
    <w:rsid w:val="00A453D1"/>
    <w:rsid w:val="00A47A3F"/>
    <w:rsid w:val="00A50437"/>
    <w:rsid w:val="00A641F0"/>
    <w:rsid w:val="00A70DA2"/>
    <w:rsid w:val="00A75A0F"/>
    <w:rsid w:val="00A82D30"/>
    <w:rsid w:val="00A859FE"/>
    <w:rsid w:val="00A85CB8"/>
    <w:rsid w:val="00A94E40"/>
    <w:rsid w:val="00A96570"/>
    <w:rsid w:val="00AA5666"/>
    <w:rsid w:val="00AB311C"/>
    <w:rsid w:val="00AB4D25"/>
    <w:rsid w:val="00AC081F"/>
    <w:rsid w:val="00AC71B3"/>
    <w:rsid w:val="00AD3431"/>
    <w:rsid w:val="00AD7048"/>
    <w:rsid w:val="00AE295B"/>
    <w:rsid w:val="00AF28F2"/>
    <w:rsid w:val="00AF42B1"/>
    <w:rsid w:val="00AF595C"/>
    <w:rsid w:val="00B0382B"/>
    <w:rsid w:val="00B074CB"/>
    <w:rsid w:val="00B10035"/>
    <w:rsid w:val="00B1260F"/>
    <w:rsid w:val="00B15A30"/>
    <w:rsid w:val="00B260CA"/>
    <w:rsid w:val="00B40DDC"/>
    <w:rsid w:val="00B43BE5"/>
    <w:rsid w:val="00B608A7"/>
    <w:rsid w:val="00B611EE"/>
    <w:rsid w:val="00B6178F"/>
    <w:rsid w:val="00B64702"/>
    <w:rsid w:val="00B67E4A"/>
    <w:rsid w:val="00B73E52"/>
    <w:rsid w:val="00B800CC"/>
    <w:rsid w:val="00B94282"/>
    <w:rsid w:val="00B957B6"/>
    <w:rsid w:val="00B9796F"/>
    <w:rsid w:val="00BA7C58"/>
    <w:rsid w:val="00BC4243"/>
    <w:rsid w:val="00BC6B22"/>
    <w:rsid w:val="00BD18CD"/>
    <w:rsid w:val="00BE2243"/>
    <w:rsid w:val="00BF1C27"/>
    <w:rsid w:val="00BF30D2"/>
    <w:rsid w:val="00C03295"/>
    <w:rsid w:val="00C042EF"/>
    <w:rsid w:val="00C05A29"/>
    <w:rsid w:val="00C12212"/>
    <w:rsid w:val="00C1601D"/>
    <w:rsid w:val="00C20B1E"/>
    <w:rsid w:val="00C316E1"/>
    <w:rsid w:val="00C33723"/>
    <w:rsid w:val="00C352C2"/>
    <w:rsid w:val="00C36ABF"/>
    <w:rsid w:val="00C448B5"/>
    <w:rsid w:val="00C448E1"/>
    <w:rsid w:val="00C521F0"/>
    <w:rsid w:val="00C52881"/>
    <w:rsid w:val="00C56D9B"/>
    <w:rsid w:val="00C60DCB"/>
    <w:rsid w:val="00C64F4A"/>
    <w:rsid w:val="00C66679"/>
    <w:rsid w:val="00C70644"/>
    <w:rsid w:val="00C722FB"/>
    <w:rsid w:val="00C73FEA"/>
    <w:rsid w:val="00C77CD5"/>
    <w:rsid w:val="00C81DB8"/>
    <w:rsid w:val="00C82C76"/>
    <w:rsid w:val="00C85846"/>
    <w:rsid w:val="00C91BF6"/>
    <w:rsid w:val="00CA09C2"/>
    <w:rsid w:val="00CA5AC7"/>
    <w:rsid w:val="00CA624A"/>
    <w:rsid w:val="00CA748B"/>
    <w:rsid w:val="00CB0F81"/>
    <w:rsid w:val="00CB1BB3"/>
    <w:rsid w:val="00CB60E0"/>
    <w:rsid w:val="00CB6500"/>
    <w:rsid w:val="00CC46AE"/>
    <w:rsid w:val="00CE5119"/>
    <w:rsid w:val="00CF082F"/>
    <w:rsid w:val="00CF0B8C"/>
    <w:rsid w:val="00CF41F3"/>
    <w:rsid w:val="00D0192A"/>
    <w:rsid w:val="00D037D4"/>
    <w:rsid w:val="00D04830"/>
    <w:rsid w:val="00D07BA2"/>
    <w:rsid w:val="00D17C8D"/>
    <w:rsid w:val="00D218D4"/>
    <w:rsid w:val="00D22787"/>
    <w:rsid w:val="00D24F52"/>
    <w:rsid w:val="00D26EF6"/>
    <w:rsid w:val="00D304F6"/>
    <w:rsid w:val="00D34406"/>
    <w:rsid w:val="00D360CE"/>
    <w:rsid w:val="00D37799"/>
    <w:rsid w:val="00D40C2C"/>
    <w:rsid w:val="00D44760"/>
    <w:rsid w:val="00D51633"/>
    <w:rsid w:val="00D52672"/>
    <w:rsid w:val="00D53F1D"/>
    <w:rsid w:val="00D56E25"/>
    <w:rsid w:val="00D57DCA"/>
    <w:rsid w:val="00D6517E"/>
    <w:rsid w:val="00D70815"/>
    <w:rsid w:val="00D7113F"/>
    <w:rsid w:val="00D73BC6"/>
    <w:rsid w:val="00D74294"/>
    <w:rsid w:val="00D948DE"/>
    <w:rsid w:val="00D9642F"/>
    <w:rsid w:val="00DA1AAB"/>
    <w:rsid w:val="00DA60EE"/>
    <w:rsid w:val="00DA7E6F"/>
    <w:rsid w:val="00DB57BD"/>
    <w:rsid w:val="00DB7839"/>
    <w:rsid w:val="00DC18C8"/>
    <w:rsid w:val="00DC5452"/>
    <w:rsid w:val="00DC718C"/>
    <w:rsid w:val="00DD2551"/>
    <w:rsid w:val="00DD35E6"/>
    <w:rsid w:val="00DD51F2"/>
    <w:rsid w:val="00DE7099"/>
    <w:rsid w:val="00DE7BC6"/>
    <w:rsid w:val="00DF5CC9"/>
    <w:rsid w:val="00E00CEF"/>
    <w:rsid w:val="00E014AC"/>
    <w:rsid w:val="00E10CCE"/>
    <w:rsid w:val="00E15DE9"/>
    <w:rsid w:val="00E2217C"/>
    <w:rsid w:val="00E23602"/>
    <w:rsid w:val="00E2591C"/>
    <w:rsid w:val="00E3318A"/>
    <w:rsid w:val="00E36F1E"/>
    <w:rsid w:val="00E4196D"/>
    <w:rsid w:val="00E41D34"/>
    <w:rsid w:val="00E43A30"/>
    <w:rsid w:val="00E4464F"/>
    <w:rsid w:val="00E45086"/>
    <w:rsid w:val="00E675BB"/>
    <w:rsid w:val="00E70B8A"/>
    <w:rsid w:val="00E7180A"/>
    <w:rsid w:val="00E80C31"/>
    <w:rsid w:val="00E85FFD"/>
    <w:rsid w:val="00EA2344"/>
    <w:rsid w:val="00EA50B3"/>
    <w:rsid w:val="00EB0700"/>
    <w:rsid w:val="00EB2E6F"/>
    <w:rsid w:val="00EB598C"/>
    <w:rsid w:val="00EB755C"/>
    <w:rsid w:val="00EC026A"/>
    <w:rsid w:val="00EC55CC"/>
    <w:rsid w:val="00ED4DE1"/>
    <w:rsid w:val="00ED50F3"/>
    <w:rsid w:val="00ED5D07"/>
    <w:rsid w:val="00ED7A9F"/>
    <w:rsid w:val="00ED7F83"/>
    <w:rsid w:val="00EE1E12"/>
    <w:rsid w:val="00EF459B"/>
    <w:rsid w:val="00F020EB"/>
    <w:rsid w:val="00F03399"/>
    <w:rsid w:val="00F04980"/>
    <w:rsid w:val="00F066ED"/>
    <w:rsid w:val="00F111E4"/>
    <w:rsid w:val="00F125F3"/>
    <w:rsid w:val="00F1394E"/>
    <w:rsid w:val="00F15D12"/>
    <w:rsid w:val="00F2789F"/>
    <w:rsid w:val="00F41619"/>
    <w:rsid w:val="00F425E0"/>
    <w:rsid w:val="00F439CA"/>
    <w:rsid w:val="00F43D3A"/>
    <w:rsid w:val="00F50843"/>
    <w:rsid w:val="00F5306B"/>
    <w:rsid w:val="00F618C2"/>
    <w:rsid w:val="00F64FE3"/>
    <w:rsid w:val="00F704AA"/>
    <w:rsid w:val="00F70C7B"/>
    <w:rsid w:val="00F7339C"/>
    <w:rsid w:val="00F73CCF"/>
    <w:rsid w:val="00F76235"/>
    <w:rsid w:val="00F76E62"/>
    <w:rsid w:val="00F7703A"/>
    <w:rsid w:val="00F8161D"/>
    <w:rsid w:val="00F82345"/>
    <w:rsid w:val="00F83CB1"/>
    <w:rsid w:val="00F86FFB"/>
    <w:rsid w:val="00F94D1F"/>
    <w:rsid w:val="00F97014"/>
    <w:rsid w:val="00FA2EA6"/>
    <w:rsid w:val="00FA5A12"/>
    <w:rsid w:val="00FB1D9B"/>
    <w:rsid w:val="00FB2334"/>
    <w:rsid w:val="00FB30FA"/>
    <w:rsid w:val="00FB36B7"/>
    <w:rsid w:val="00FB36EA"/>
    <w:rsid w:val="00FC02DE"/>
    <w:rsid w:val="00FC2ADC"/>
    <w:rsid w:val="00FC47E4"/>
    <w:rsid w:val="00FC742E"/>
    <w:rsid w:val="00FD1559"/>
    <w:rsid w:val="00FD2E0C"/>
    <w:rsid w:val="00FE6128"/>
    <w:rsid w:val="00FF3000"/>
    <w:rsid w:val="00FF45E8"/>
    <w:rsid w:val="00FF4823"/>
    <w:rsid w:val="197EE7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D7C40"/>
  <w15:docId w15:val="{0E8D2FE3-9990-42A1-AAF2-6EEE19A62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4AA"/>
    <w:pPr>
      <w:spacing w:after="0" w:line="240" w:lineRule="auto"/>
    </w:pPr>
    <w:rPr>
      <w:rFonts w:ascii="Times New Roman" w:hAnsi="Times New Roman" w:cs="Times New Roman"/>
      <w:sz w:val="24"/>
      <w:szCs w:val="24"/>
      <w:lang w:val="en-US"/>
    </w:rPr>
  </w:style>
  <w:style w:type="paragraph" w:styleId="Heading2">
    <w:name w:val="heading 2"/>
    <w:basedOn w:val="Normal"/>
    <w:link w:val="Heading2Char"/>
    <w:uiPriority w:val="9"/>
    <w:qFormat/>
    <w:rsid w:val="0083645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F704A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F704A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BB3"/>
    <w:pPr>
      <w:tabs>
        <w:tab w:val="center" w:pos="4513"/>
        <w:tab w:val="right" w:pos="9026"/>
      </w:tabs>
    </w:pPr>
  </w:style>
  <w:style w:type="character" w:customStyle="1" w:styleId="HeaderChar">
    <w:name w:val="Header Char"/>
    <w:basedOn w:val="DefaultParagraphFont"/>
    <w:link w:val="Header"/>
    <w:uiPriority w:val="99"/>
    <w:rsid w:val="00CB1BB3"/>
  </w:style>
  <w:style w:type="paragraph" w:styleId="Footer">
    <w:name w:val="footer"/>
    <w:basedOn w:val="Normal"/>
    <w:link w:val="FooterChar"/>
    <w:uiPriority w:val="99"/>
    <w:unhideWhenUsed/>
    <w:rsid w:val="00CB1BB3"/>
    <w:pPr>
      <w:tabs>
        <w:tab w:val="center" w:pos="4513"/>
        <w:tab w:val="right" w:pos="9026"/>
      </w:tabs>
    </w:pPr>
  </w:style>
  <w:style w:type="character" w:customStyle="1" w:styleId="FooterChar">
    <w:name w:val="Footer Char"/>
    <w:basedOn w:val="DefaultParagraphFont"/>
    <w:link w:val="Footer"/>
    <w:uiPriority w:val="99"/>
    <w:rsid w:val="00CB1BB3"/>
  </w:style>
  <w:style w:type="paragraph" w:styleId="BalloonText">
    <w:name w:val="Balloon Text"/>
    <w:basedOn w:val="Normal"/>
    <w:link w:val="BalloonTextChar"/>
    <w:uiPriority w:val="99"/>
    <w:semiHidden/>
    <w:unhideWhenUsed/>
    <w:rsid w:val="00CB1BB3"/>
    <w:rPr>
      <w:rFonts w:ascii="Tahoma" w:hAnsi="Tahoma" w:cs="Tahoma"/>
      <w:sz w:val="16"/>
      <w:szCs w:val="16"/>
    </w:rPr>
  </w:style>
  <w:style w:type="character" w:customStyle="1" w:styleId="BalloonTextChar">
    <w:name w:val="Balloon Text Char"/>
    <w:basedOn w:val="DefaultParagraphFont"/>
    <w:link w:val="BalloonText"/>
    <w:uiPriority w:val="99"/>
    <w:semiHidden/>
    <w:rsid w:val="00CB1BB3"/>
    <w:rPr>
      <w:rFonts w:ascii="Tahoma" w:hAnsi="Tahoma" w:cs="Tahoma"/>
      <w:sz w:val="16"/>
      <w:szCs w:val="16"/>
    </w:rPr>
  </w:style>
  <w:style w:type="table" w:styleId="TableGrid">
    <w:name w:val="Table Grid"/>
    <w:basedOn w:val="TableNormal"/>
    <w:uiPriority w:val="39"/>
    <w:rsid w:val="00884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4243"/>
    <w:pPr>
      <w:ind w:left="720"/>
      <w:contextualSpacing/>
    </w:pPr>
  </w:style>
  <w:style w:type="character" w:styleId="CommentReference">
    <w:name w:val="annotation reference"/>
    <w:basedOn w:val="DefaultParagraphFont"/>
    <w:uiPriority w:val="99"/>
    <w:semiHidden/>
    <w:unhideWhenUsed/>
    <w:rsid w:val="009056B9"/>
    <w:rPr>
      <w:sz w:val="18"/>
      <w:szCs w:val="18"/>
    </w:rPr>
  </w:style>
  <w:style w:type="paragraph" w:styleId="CommentText">
    <w:name w:val="annotation text"/>
    <w:basedOn w:val="Normal"/>
    <w:link w:val="CommentTextChar"/>
    <w:uiPriority w:val="99"/>
    <w:semiHidden/>
    <w:unhideWhenUsed/>
    <w:rsid w:val="009056B9"/>
  </w:style>
  <w:style w:type="character" w:customStyle="1" w:styleId="CommentTextChar">
    <w:name w:val="Comment Text Char"/>
    <w:basedOn w:val="DefaultParagraphFont"/>
    <w:link w:val="CommentText"/>
    <w:uiPriority w:val="99"/>
    <w:semiHidden/>
    <w:rsid w:val="009056B9"/>
    <w:rPr>
      <w:sz w:val="24"/>
      <w:szCs w:val="24"/>
    </w:rPr>
  </w:style>
  <w:style w:type="paragraph" w:styleId="CommentSubject">
    <w:name w:val="annotation subject"/>
    <w:basedOn w:val="CommentText"/>
    <w:next w:val="CommentText"/>
    <w:link w:val="CommentSubjectChar"/>
    <w:uiPriority w:val="99"/>
    <w:semiHidden/>
    <w:unhideWhenUsed/>
    <w:rsid w:val="009056B9"/>
    <w:rPr>
      <w:b/>
      <w:bCs/>
      <w:sz w:val="20"/>
      <w:szCs w:val="20"/>
    </w:rPr>
  </w:style>
  <w:style w:type="character" w:customStyle="1" w:styleId="CommentSubjectChar">
    <w:name w:val="Comment Subject Char"/>
    <w:basedOn w:val="CommentTextChar"/>
    <w:link w:val="CommentSubject"/>
    <w:uiPriority w:val="99"/>
    <w:semiHidden/>
    <w:rsid w:val="009056B9"/>
    <w:rPr>
      <w:b/>
      <w:bCs/>
      <w:sz w:val="20"/>
      <w:szCs w:val="20"/>
    </w:rPr>
  </w:style>
  <w:style w:type="character" w:customStyle="1" w:styleId="apple-converted-space">
    <w:name w:val="apple-converted-space"/>
    <w:basedOn w:val="DefaultParagraphFont"/>
    <w:rsid w:val="007F4D74"/>
  </w:style>
  <w:style w:type="character" w:styleId="Strong">
    <w:name w:val="Strong"/>
    <w:basedOn w:val="DefaultParagraphFont"/>
    <w:uiPriority w:val="22"/>
    <w:qFormat/>
    <w:rsid w:val="000261C8"/>
    <w:rPr>
      <w:b/>
      <w:bCs/>
    </w:rPr>
  </w:style>
  <w:style w:type="character" w:customStyle="1" w:styleId="below">
    <w:name w:val="below"/>
    <w:basedOn w:val="DefaultParagraphFont"/>
    <w:rsid w:val="000261C8"/>
  </w:style>
  <w:style w:type="character" w:customStyle="1" w:styleId="average">
    <w:name w:val="average"/>
    <w:basedOn w:val="DefaultParagraphFont"/>
    <w:rsid w:val="00AB311C"/>
  </w:style>
  <w:style w:type="paragraph" w:styleId="NormalWeb">
    <w:name w:val="Normal (Web)"/>
    <w:basedOn w:val="Normal"/>
    <w:uiPriority w:val="99"/>
    <w:unhideWhenUsed/>
    <w:rsid w:val="00BD18CD"/>
    <w:pPr>
      <w:spacing w:before="100" w:beforeAutospacing="1" w:after="100" w:afterAutospacing="1"/>
    </w:pPr>
  </w:style>
  <w:style w:type="character" w:styleId="Hyperlink">
    <w:name w:val="Hyperlink"/>
    <w:basedOn w:val="DefaultParagraphFont"/>
    <w:uiPriority w:val="99"/>
    <w:unhideWhenUsed/>
    <w:rsid w:val="00BD18CD"/>
    <w:rPr>
      <w:color w:val="0000FF" w:themeColor="hyperlink"/>
      <w:u w:val="single"/>
    </w:rPr>
  </w:style>
  <w:style w:type="character" w:customStyle="1" w:styleId="Heading2Char">
    <w:name w:val="Heading 2 Char"/>
    <w:basedOn w:val="DefaultParagraphFont"/>
    <w:link w:val="Heading2"/>
    <w:uiPriority w:val="9"/>
    <w:rsid w:val="0083645A"/>
    <w:rPr>
      <w:rFonts w:ascii="Times New Roman" w:hAnsi="Times New Roman" w:cs="Times New Roman"/>
      <w:b/>
      <w:bCs/>
      <w:sz w:val="36"/>
      <w:szCs w:val="36"/>
      <w:lang w:val="en-US"/>
    </w:rPr>
  </w:style>
  <w:style w:type="character" w:styleId="Emphasis">
    <w:name w:val="Emphasis"/>
    <w:basedOn w:val="DefaultParagraphFont"/>
    <w:uiPriority w:val="20"/>
    <w:qFormat/>
    <w:rsid w:val="0083645A"/>
    <w:rPr>
      <w:i/>
      <w:iCs/>
    </w:rPr>
  </w:style>
  <w:style w:type="paragraph" w:customStyle="1" w:styleId="Default">
    <w:name w:val="Default"/>
    <w:rsid w:val="00454F2B"/>
    <w:pPr>
      <w:autoSpaceDE w:val="0"/>
      <w:autoSpaceDN w:val="0"/>
      <w:adjustRightInd w:val="0"/>
      <w:spacing w:after="0" w:line="240" w:lineRule="auto"/>
    </w:pPr>
    <w:rPr>
      <w:rFonts w:ascii="Calibri" w:hAnsi="Calibri" w:cs="Calibri"/>
      <w:color w:val="000000"/>
      <w:sz w:val="24"/>
      <w:szCs w:val="24"/>
    </w:rPr>
  </w:style>
  <w:style w:type="paragraph" w:customStyle="1" w:styleId="xmsolistparagraph">
    <w:name w:val="xmsolistparagraph"/>
    <w:basedOn w:val="Normal"/>
    <w:rsid w:val="009C0093"/>
    <w:pPr>
      <w:ind w:left="720"/>
    </w:pPr>
    <w:rPr>
      <w:rFonts w:ascii="Calibri" w:hAnsi="Calibri" w:cs="Calibri"/>
      <w:sz w:val="22"/>
      <w:szCs w:val="22"/>
      <w:lang w:val="en-GB" w:eastAsia="en-GB"/>
    </w:rPr>
  </w:style>
  <w:style w:type="paragraph" w:customStyle="1" w:styleId="xmsonormal">
    <w:name w:val="xmsonormal"/>
    <w:basedOn w:val="Normal"/>
    <w:rsid w:val="009C0093"/>
    <w:rPr>
      <w:rFonts w:ascii="Calibri" w:hAnsi="Calibri" w:cs="Calibri"/>
      <w:sz w:val="22"/>
      <w:szCs w:val="22"/>
      <w:lang w:val="en-GB" w:eastAsia="en-GB"/>
    </w:rPr>
  </w:style>
  <w:style w:type="character" w:customStyle="1" w:styleId="Heading3Char">
    <w:name w:val="Heading 3 Char"/>
    <w:basedOn w:val="DefaultParagraphFont"/>
    <w:link w:val="Heading3"/>
    <w:uiPriority w:val="9"/>
    <w:semiHidden/>
    <w:rsid w:val="00F704AA"/>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semiHidden/>
    <w:rsid w:val="00F704AA"/>
    <w:rPr>
      <w:rFonts w:asciiTheme="majorHAnsi" w:eastAsiaTheme="majorEastAsia" w:hAnsiTheme="majorHAnsi" w:cstheme="majorBidi"/>
      <w:i/>
      <w:iCs/>
      <w:color w:val="365F91" w:themeColor="accent1" w:themeShade="B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540">
      <w:bodyDiv w:val="1"/>
      <w:marLeft w:val="0"/>
      <w:marRight w:val="0"/>
      <w:marTop w:val="0"/>
      <w:marBottom w:val="0"/>
      <w:divBdr>
        <w:top w:val="none" w:sz="0" w:space="0" w:color="auto"/>
        <w:left w:val="none" w:sz="0" w:space="0" w:color="auto"/>
        <w:bottom w:val="none" w:sz="0" w:space="0" w:color="auto"/>
        <w:right w:val="none" w:sz="0" w:space="0" w:color="auto"/>
      </w:divBdr>
    </w:div>
    <w:div w:id="1903597">
      <w:bodyDiv w:val="1"/>
      <w:marLeft w:val="0"/>
      <w:marRight w:val="0"/>
      <w:marTop w:val="0"/>
      <w:marBottom w:val="0"/>
      <w:divBdr>
        <w:top w:val="none" w:sz="0" w:space="0" w:color="auto"/>
        <w:left w:val="none" w:sz="0" w:space="0" w:color="auto"/>
        <w:bottom w:val="none" w:sz="0" w:space="0" w:color="auto"/>
        <w:right w:val="none" w:sz="0" w:space="0" w:color="auto"/>
      </w:divBdr>
    </w:div>
    <w:div w:id="17319641">
      <w:bodyDiv w:val="1"/>
      <w:marLeft w:val="0"/>
      <w:marRight w:val="0"/>
      <w:marTop w:val="0"/>
      <w:marBottom w:val="0"/>
      <w:divBdr>
        <w:top w:val="none" w:sz="0" w:space="0" w:color="auto"/>
        <w:left w:val="none" w:sz="0" w:space="0" w:color="auto"/>
        <w:bottom w:val="none" w:sz="0" w:space="0" w:color="auto"/>
        <w:right w:val="none" w:sz="0" w:space="0" w:color="auto"/>
      </w:divBdr>
    </w:div>
    <w:div w:id="32581958">
      <w:bodyDiv w:val="1"/>
      <w:marLeft w:val="0"/>
      <w:marRight w:val="0"/>
      <w:marTop w:val="0"/>
      <w:marBottom w:val="0"/>
      <w:divBdr>
        <w:top w:val="none" w:sz="0" w:space="0" w:color="auto"/>
        <w:left w:val="none" w:sz="0" w:space="0" w:color="auto"/>
        <w:bottom w:val="none" w:sz="0" w:space="0" w:color="auto"/>
        <w:right w:val="none" w:sz="0" w:space="0" w:color="auto"/>
      </w:divBdr>
    </w:div>
    <w:div w:id="163011703">
      <w:bodyDiv w:val="1"/>
      <w:marLeft w:val="0"/>
      <w:marRight w:val="0"/>
      <w:marTop w:val="0"/>
      <w:marBottom w:val="0"/>
      <w:divBdr>
        <w:top w:val="none" w:sz="0" w:space="0" w:color="auto"/>
        <w:left w:val="none" w:sz="0" w:space="0" w:color="auto"/>
        <w:bottom w:val="none" w:sz="0" w:space="0" w:color="auto"/>
        <w:right w:val="none" w:sz="0" w:space="0" w:color="auto"/>
      </w:divBdr>
    </w:div>
    <w:div w:id="165479032">
      <w:bodyDiv w:val="1"/>
      <w:marLeft w:val="0"/>
      <w:marRight w:val="0"/>
      <w:marTop w:val="0"/>
      <w:marBottom w:val="0"/>
      <w:divBdr>
        <w:top w:val="none" w:sz="0" w:space="0" w:color="auto"/>
        <w:left w:val="none" w:sz="0" w:space="0" w:color="auto"/>
        <w:bottom w:val="none" w:sz="0" w:space="0" w:color="auto"/>
        <w:right w:val="none" w:sz="0" w:space="0" w:color="auto"/>
      </w:divBdr>
    </w:div>
    <w:div w:id="189878476">
      <w:bodyDiv w:val="1"/>
      <w:marLeft w:val="0"/>
      <w:marRight w:val="0"/>
      <w:marTop w:val="0"/>
      <w:marBottom w:val="0"/>
      <w:divBdr>
        <w:top w:val="none" w:sz="0" w:space="0" w:color="auto"/>
        <w:left w:val="none" w:sz="0" w:space="0" w:color="auto"/>
        <w:bottom w:val="none" w:sz="0" w:space="0" w:color="auto"/>
        <w:right w:val="none" w:sz="0" w:space="0" w:color="auto"/>
      </w:divBdr>
    </w:div>
    <w:div w:id="260383345">
      <w:bodyDiv w:val="1"/>
      <w:marLeft w:val="0"/>
      <w:marRight w:val="0"/>
      <w:marTop w:val="0"/>
      <w:marBottom w:val="0"/>
      <w:divBdr>
        <w:top w:val="none" w:sz="0" w:space="0" w:color="auto"/>
        <w:left w:val="none" w:sz="0" w:space="0" w:color="auto"/>
        <w:bottom w:val="none" w:sz="0" w:space="0" w:color="auto"/>
        <w:right w:val="none" w:sz="0" w:space="0" w:color="auto"/>
      </w:divBdr>
    </w:div>
    <w:div w:id="317271669">
      <w:bodyDiv w:val="1"/>
      <w:marLeft w:val="0"/>
      <w:marRight w:val="0"/>
      <w:marTop w:val="0"/>
      <w:marBottom w:val="0"/>
      <w:divBdr>
        <w:top w:val="none" w:sz="0" w:space="0" w:color="auto"/>
        <w:left w:val="none" w:sz="0" w:space="0" w:color="auto"/>
        <w:bottom w:val="none" w:sz="0" w:space="0" w:color="auto"/>
        <w:right w:val="none" w:sz="0" w:space="0" w:color="auto"/>
      </w:divBdr>
      <w:divsChild>
        <w:div w:id="1105996994">
          <w:marLeft w:val="0"/>
          <w:marRight w:val="0"/>
          <w:marTop w:val="0"/>
          <w:marBottom w:val="0"/>
          <w:divBdr>
            <w:top w:val="none" w:sz="0" w:space="0" w:color="auto"/>
            <w:left w:val="none" w:sz="0" w:space="0" w:color="auto"/>
            <w:bottom w:val="none" w:sz="0" w:space="0" w:color="auto"/>
            <w:right w:val="none" w:sz="0" w:space="0" w:color="auto"/>
          </w:divBdr>
          <w:divsChild>
            <w:div w:id="1263299009">
              <w:marLeft w:val="0"/>
              <w:marRight w:val="0"/>
              <w:marTop w:val="0"/>
              <w:marBottom w:val="0"/>
              <w:divBdr>
                <w:top w:val="none" w:sz="0" w:space="0" w:color="auto"/>
                <w:left w:val="none" w:sz="0" w:space="0" w:color="auto"/>
                <w:bottom w:val="none" w:sz="0" w:space="0" w:color="auto"/>
                <w:right w:val="none" w:sz="0" w:space="0" w:color="auto"/>
              </w:divBdr>
              <w:divsChild>
                <w:div w:id="362899252">
                  <w:marLeft w:val="0"/>
                  <w:marRight w:val="0"/>
                  <w:marTop w:val="0"/>
                  <w:marBottom w:val="0"/>
                  <w:divBdr>
                    <w:top w:val="none" w:sz="0" w:space="0" w:color="auto"/>
                    <w:left w:val="none" w:sz="0" w:space="0" w:color="auto"/>
                    <w:bottom w:val="none" w:sz="0" w:space="0" w:color="auto"/>
                    <w:right w:val="none" w:sz="0" w:space="0" w:color="auto"/>
                  </w:divBdr>
                  <w:divsChild>
                    <w:div w:id="161273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929229">
      <w:bodyDiv w:val="1"/>
      <w:marLeft w:val="0"/>
      <w:marRight w:val="0"/>
      <w:marTop w:val="0"/>
      <w:marBottom w:val="0"/>
      <w:divBdr>
        <w:top w:val="none" w:sz="0" w:space="0" w:color="auto"/>
        <w:left w:val="none" w:sz="0" w:space="0" w:color="auto"/>
        <w:bottom w:val="none" w:sz="0" w:space="0" w:color="auto"/>
        <w:right w:val="none" w:sz="0" w:space="0" w:color="auto"/>
      </w:divBdr>
    </w:div>
    <w:div w:id="336540692">
      <w:bodyDiv w:val="1"/>
      <w:marLeft w:val="0"/>
      <w:marRight w:val="0"/>
      <w:marTop w:val="0"/>
      <w:marBottom w:val="0"/>
      <w:divBdr>
        <w:top w:val="none" w:sz="0" w:space="0" w:color="auto"/>
        <w:left w:val="none" w:sz="0" w:space="0" w:color="auto"/>
        <w:bottom w:val="none" w:sz="0" w:space="0" w:color="auto"/>
        <w:right w:val="none" w:sz="0" w:space="0" w:color="auto"/>
      </w:divBdr>
    </w:div>
    <w:div w:id="405422164">
      <w:bodyDiv w:val="1"/>
      <w:marLeft w:val="0"/>
      <w:marRight w:val="0"/>
      <w:marTop w:val="0"/>
      <w:marBottom w:val="0"/>
      <w:divBdr>
        <w:top w:val="none" w:sz="0" w:space="0" w:color="auto"/>
        <w:left w:val="none" w:sz="0" w:space="0" w:color="auto"/>
        <w:bottom w:val="none" w:sz="0" w:space="0" w:color="auto"/>
        <w:right w:val="none" w:sz="0" w:space="0" w:color="auto"/>
      </w:divBdr>
    </w:div>
    <w:div w:id="465707843">
      <w:bodyDiv w:val="1"/>
      <w:marLeft w:val="0"/>
      <w:marRight w:val="0"/>
      <w:marTop w:val="0"/>
      <w:marBottom w:val="0"/>
      <w:divBdr>
        <w:top w:val="none" w:sz="0" w:space="0" w:color="auto"/>
        <w:left w:val="none" w:sz="0" w:space="0" w:color="auto"/>
        <w:bottom w:val="none" w:sz="0" w:space="0" w:color="auto"/>
        <w:right w:val="none" w:sz="0" w:space="0" w:color="auto"/>
      </w:divBdr>
      <w:divsChild>
        <w:div w:id="637151599">
          <w:marLeft w:val="0"/>
          <w:marRight w:val="0"/>
          <w:marTop w:val="0"/>
          <w:marBottom w:val="0"/>
          <w:divBdr>
            <w:top w:val="none" w:sz="0" w:space="0" w:color="auto"/>
            <w:left w:val="none" w:sz="0" w:space="0" w:color="auto"/>
            <w:bottom w:val="none" w:sz="0" w:space="0" w:color="auto"/>
            <w:right w:val="none" w:sz="0" w:space="0" w:color="auto"/>
          </w:divBdr>
          <w:divsChild>
            <w:div w:id="1667905020">
              <w:marLeft w:val="0"/>
              <w:marRight w:val="0"/>
              <w:marTop w:val="0"/>
              <w:marBottom w:val="0"/>
              <w:divBdr>
                <w:top w:val="none" w:sz="0" w:space="0" w:color="auto"/>
                <w:left w:val="none" w:sz="0" w:space="0" w:color="auto"/>
                <w:bottom w:val="none" w:sz="0" w:space="0" w:color="auto"/>
                <w:right w:val="none" w:sz="0" w:space="0" w:color="auto"/>
              </w:divBdr>
              <w:divsChild>
                <w:div w:id="1423525425">
                  <w:marLeft w:val="0"/>
                  <w:marRight w:val="0"/>
                  <w:marTop w:val="0"/>
                  <w:marBottom w:val="0"/>
                  <w:divBdr>
                    <w:top w:val="none" w:sz="0" w:space="0" w:color="auto"/>
                    <w:left w:val="none" w:sz="0" w:space="0" w:color="auto"/>
                    <w:bottom w:val="none" w:sz="0" w:space="0" w:color="auto"/>
                    <w:right w:val="none" w:sz="0" w:space="0" w:color="auto"/>
                  </w:divBdr>
                  <w:divsChild>
                    <w:div w:id="192252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702195">
      <w:bodyDiv w:val="1"/>
      <w:marLeft w:val="0"/>
      <w:marRight w:val="0"/>
      <w:marTop w:val="0"/>
      <w:marBottom w:val="0"/>
      <w:divBdr>
        <w:top w:val="none" w:sz="0" w:space="0" w:color="auto"/>
        <w:left w:val="none" w:sz="0" w:space="0" w:color="auto"/>
        <w:bottom w:val="none" w:sz="0" w:space="0" w:color="auto"/>
        <w:right w:val="none" w:sz="0" w:space="0" w:color="auto"/>
      </w:divBdr>
      <w:divsChild>
        <w:div w:id="915556248">
          <w:marLeft w:val="0"/>
          <w:marRight w:val="0"/>
          <w:marTop w:val="0"/>
          <w:marBottom w:val="0"/>
          <w:divBdr>
            <w:top w:val="none" w:sz="0" w:space="0" w:color="auto"/>
            <w:left w:val="none" w:sz="0" w:space="0" w:color="auto"/>
            <w:bottom w:val="none" w:sz="0" w:space="0" w:color="auto"/>
            <w:right w:val="none" w:sz="0" w:space="0" w:color="auto"/>
          </w:divBdr>
          <w:divsChild>
            <w:div w:id="395131165">
              <w:marLeft w:val="0"/>
              <w:marRight w:val="0"/>
              <w:marTop w:val="0"/>
              <w:marBottom w:val="0"/>
              <w:divBdr>
                <w:top w:val="none" w:sz="0" w:space="0" w:color="auto"/>
                <w:left w:val="none" w:sz="0" w:space="0" w:color="auto"/>
                <w:bottom w:val="none" w:sz="0" w:space="0" w:color="auto"/>
                <w:right w:val="none" w:sz="0" w:space="0" w:color="auto"/>
              </w:divBdr>
              <w:divsChild>
                <w:div w:id="1673482209">
                  <w:marLeft w:val="0"/>
                  <w:marRight w:val="0"/>
                  <w:marTop w:val="0"/>
                  <w:marBottom w:val="0"/>
                  <w:divBdr>
                    <w:top w:val="none" w:sz="0" w:space="0" w:color="auto"/>
                    <w:left w:val="none" w:sz="0" w:space="0" w:color="auto"/>
                    <w:bottom w:val="none" w:sz="0" w:space="0" w:color="auto"/>
                    <w:right w:val="none" w:sz="0" w:space="0" w:color="auto"/>
                  </w:divBdr>
                  <w:divsChild>
                    <w:div w:id="11206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183288">
      <w:bodyDiv w:val="1"/>
      <w:marLeft w:val="0"/>
      <w:marRight w:val="0"/>
      <w:marTop w:val="0"/>
      <w:marBottom w:val="0"/>
      <w:divBdr>
        <w:top w:val="none" w:sz="0" w:space="0" w:color="auto"/>
        <w:left w:val="none" w:sz="0" w:space="0" w:color="auto"/>
        <w:bottom w:val="none" w:sz="0" w:space="0" w:color="auto"/>
        <w:right w:val="none" w:sz="0" w:space="0" w:color="auto"/>
      </w:divBdr>
    </w:div>
    <w:div w:id="586572340">
      <w:bodyDiv w:val="1"/>
      <w:marLeft w:val="0"/>
      <w:marRight w:val="0"/>
      <w:marTop w:val="0"/>
      <w:marBottom w:val="0"/>
      <w:divBdr>
        <w:top w:val="none" w:sz="0" w:space="0" w:color="auto"/>
        <w:left w:val="none" w:sz="0" w:space="0" w:color="auto"/>
        <w:bottom w:val="none" w:sz="0" w:space="0" w:color="auto"/>
        <w:right w:val="none" w:sz="0" w:space="0" w:color="auto"/>
      </w:divBdr>
    </w:div>
    <w:div w:id="637418350">
      <w:bodyDiv w:val="1"/>
      <w:marLeft w:val="0"/>
      <w:marRight w:val="0"/>
      <w:marTop w:val="0"/>
      <w:marBottom w:val="0"/>
      <w:divBdr>
        <w:top w:val="none" w:sz="0" w:space="0" w:color="auto"/>
        <w:left w:val="none" w:sz="0" w:space="0" w:color="auto"/>
        <w:bottom w:val="none" w:sz="0" w:space="0" w:color="auto"/>
        <w:right w:val="none" w:sz="0" w:space="0" w:color="auto"/>
      </w:divBdr>
    </w:div>
    <w:div w:id="643589163">
      <w:bodyDiv w:val="1"/>
      <w:marLeft w:val="0"/>
      <w:marRight w:val="0"/>
      <w:marTop w:val="0"/>
      <w:marBottom w:val="0"/>
      <w:divBdr>
        <w:top w:val="none" w:sz="0" w:space="0" w:color="auto"/>
        <w:left w:val="none" w:sz="0" w:space="0" w:color="auto"/>
        <w:bottom w:val="none" w:sz="0" w:space="0" w:color="auto"/>
        <w:right w:val="none" w:sz="0" w:space="0" w:color="auto"/>
      </w:divBdr>
      <w:divsChild>
        <w:div w:id="212733921">
          <w:marLeft w:val="0"/>
          <w:marRight w:val="0"/>
          <w:marTop w:val="0"/>
          <w:marBottom w:val="0"/>
          <w:divBdr>
            <w:top w:val="none" w:sz="0" w:space="0" w:color="auto"/>
            <w:left w:val="none" w:sz="0" w:space="0" w:color="auto"/>
            <w:bottom w:val="none" w:sz="0" w:space="0" w:color="auto"/>
            <w:right w:val="none" w:sz="0" w:space="0" w:color="auto"/>
          </w:divBdr>
          <w:divsChild>
            <w:div w:id="1141073731">
              <w:marLeft w:val="0"/>
              <w:marRight w:val="0"/>
              <w:marTop w:val="0"/>
              <w:marBottom w:val="0"/>
              <w:divBdr>
                <w:top w:val="none" w:sz="0" w:space="0" w:color="auto"/>
                <w:left w:val="none" w:sz="0" w:space="0" w:color="auto"/>
                <w:bottom w:val="none" w:sz="0" w:space="0" w:color="auto"/>
                <w:right w:val="none" w:sz="0" w:space="0" w:color="auto"/>
              </w:divBdr>
              <w:divsChild>
                <w:div w:id="1655641858">
                  <w:marLeft w:val="0"/>
                  <w:marRight w:val="0"/>
                  <w:marTop w:val="0"/>
                  <w:marBottom w:val="0"/>
                  <w:divBdr>
                    <w:top w:val="none" w:sz="0" w:space="0" w:color="auto"/>
                    <w:left w:val="none" w:sz="0" w:space="0" w:color="auto"/>
                    <w:bottom w:val="none" w:sz="0" w:space="0" w:color="auto"/>
                    <w:right w:val="none" w:sz="0" w:space="0" w:color="auto"/>
                  </w:divBdr>
                  <w:divsChild>
                    <w:div w:id="131290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956588">
      <w:bodyDiv w:val="1"/>
      <w:marLeft w:val="0"/>
      <w:marRight w:val="0"/>
      <w:marTop w:val="0"/>
      <w:marBottom w:val="0"/>
      <w:divBdr>
        <w:top w:val="none" w:sz="0" w:space="0" w:color="auto"/>
        <w:left w:val="none" w:sz="0" w:space="0" w:color="auto"/>
        <w:bottom w:val="none" w:sz="0" w:space="0" w:color="auto"/>
        <w:right w:val="none" w:sz="0" w:space="0" w:color="auto"/>
      </w:divBdr>
      <w:divsChild>
        <w:div w:id="433063494">
          <w:marLeft w:val="0"/>
          <w:marRight w:val="0"/>
          <w:marTop w:val="0"/>
          <w:marBottom w:val="0"/>
          <w:divBdr>
            <w:top w:val="none" w:sz="0" w:space="0" w:color="auto"/>
            <w:left w:val="none" w:sz="0" w:space="0" w:color="auto"/>
            <w:bottom w:val="none" w:sz="0" w:space="0" w:color="auto"/>
            <w:right w:val="none" w:sz="0" w:space="0" w:color="auto"/>
          </w:divBdr>
          <w:divsChild>
            <w:div w:id="1599561912">
              <w:marLeft w:val="0"/>
              <w:marRight w:val="0"/>
              <w:marTop w:val="0"/>
              <w:marBottom w:val="0"/>
              <w:divBdr>
                <w:top w:val="none" w:sz="0" w:space="0" w:color="auto"/>
                <w:left w:val="none" w:sz="0" w:space="0" w:color="auto"/>
                <w:bottom w:val="none" w:sz="0" w:space="0" w:color="auto"/>
                <w:right w:val="none" w:sz="0" w:space="0" w:color="auto"/>
              </w:divBdr>
              <w:divsChild>
                <w:div w:id="1563246579">
                  <w:marLeft w:val="0"/>
                  <w:marRight w:val="0"/>
                  <w:marTop w:val="0"/>
                  <w:marBottom w:val="0"/>
                  <w:divBdr>
                    <w:top w:val="none" w:sz="0" w:space="0" w:color="auto"/>
                    <w:left w:val="none" w:sz="0" w:space="0" w:color="auto"/>
                    <w:bottom w:val="none" w:sz="0" w:space="0" w:color="auto"/>
                    <w:right w:val="none" w:sz="0" w:space="0" w:color="auto"/>
                  </w:divBdr>
                  <w:divsChild>
                    <w:div w:id="207993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534010">
      <w:bodyDiv w:val="1"/>
      <w:marLeft w:val="0"/>
      <w:marRight w:val="0"/>
      <w:marTop w:val="0"/>
      <w:marBottom w:val="0"/>
      <w:divBdr>
        <w:top w:val="none" w:sz="0" w:space="0" w:color="auto"/>
        <w:left w:val="none" w:sz="0" w:space="0" w:color="auto"/>
        <w:bottom w:val="none" w:sz="0" w:space="0" w:color="auto"/>
        <w:right w:val="none" w:sz="0" w:space="0" w:color="auto"/>
      </w:divBdr>
    </w:div>
    <w:div w:id="881745416">
      <w:bodyDiv w:val="1"/>
      <w:marLeft w:val="0"/>
      <w:marRight w:val="0"/>
      <w:marTop w:val="0"/>
      <w:marBottom w:val="0"/>
      <w:divBdr>
        <w:top w:val="none" w:sz="0" w:space="0" w:color="auto"/>
        <w:left w:val="none" w:sz="0" w:space="0" w:color="auto"/>
        <w:bottom w:val="none" w:sz="0" w:space="0" w:color="auto"/>
        <w:right w:val="none" w:sz="0" w:space="0" w:color="auto"/>
      </w:divBdr>
    </w:div>
    <w:div w:id="897013402">
      <w:bodyDiv w:val="1"/>
      <w:marLeft w:val="0"/>
      <w:marRight w:val="0"/>
      <w:marTop w:val="0"/>
      <w:marBottom w:val="0"/>
      <w:divBdr>
        <w:top w:val="none" w:sz="0" w:space="0" w:color="auto"/>
        <w:left w:val="none" w:sz="0" w:space="0" w:color="auto"/>
        <w:bottom w:val="none" w:sz="0" w:space="0" w:color="auto"/>
        <w:right w:val="none" w:sz="0" w:space="0" w:color="auto"/>
      </w:divBdr>
      <w:divsChild>
        <w:div w:id="1238440836">
          <w:marLeft w:val="0"/>
          <w:marRight w:val="0"/>
          <w:marTop w:val="0"/>
          <w:marBottom w:val="0"/>
          <w:divBdr>
            <w:top w:val="none" w:sz="0" w:space="0" w:color="auto"/>
            <w:left w:val="none" w:sz="0" w:space="0" w:color="auto"/>
            <w:bottom w:val="none" w:sz="0" w:space="0" w:color="auto"/>
            <w:right w:val="none" w:sz="0" w:space="0" w:color="auto"/>
          </w:divBdr>
          <w:divsChild>
            <w:div w:id="862938034">
              <w:marLeft w:val="0"/>
              <w:marRight w:val="0"/>
              <w:marTop w:val="0"/>
              <w:marBottom w:val="0"/>
              <w:divBdr>
                <w:top w:val="none" w:sz="0" w:space="0" w:color="auto"/>
                <w:left w:val="none" w:sz="0" w:space="0" w:color="auto"/>
                <w:bottom w:val="none" w:sz="0" w:space="0" w:color="auto"/>
                <w:right w:val="none" w:sz="0" w:space="0" w:color="auto"/>
              </w:divBdr>
              <w:divsChild>
                <w:div w:id="1510370306">
                  <w:marLeft w:val="0"/>
                  <w:marRight w:val="0"/>
                  <w:marTop w:val="0"/>
                  <w:marBottom w:val="0"/>
                  <w:divBdr>
                    <w:top w:val="none" w:sz="0" w:space="0" w:color="auto"/>
                    <w:left w:val="none" w:sz="0" w:space="0" w:color="auto"/>
                    <w:bottom w:val="none" w:sz="0" w:space="0" w:color="auto"/>
                    <w:right w:val="none" w:sz="0" w:space="0" w:color="auto"/>
                  </w:divBdr>
                  <w:divsChild>
                    <w:div w:id="68328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147493">
      <w:bodyDiv w:val="1"/>
      <w:marLeft w:val="0"/>
      <w:marRight w:val="0"/>
      <w:marTop w:val="0"/>
      <w:marBottom w:val="0"/>
      <w:divBdr>
        <w:top w:val="none" w:sz="0" w:space="0" w:color="auto"/>
        <w:left w:val="none" w:sz="0" w:space="0" w:color="auto"/>
        <w:bottom w:val="none" w:sz="0" w:space="0" w:color="auto"/>
        <w:right w:val="none" w:sz="0" w:space="0" w:color="auto"/>
      </w:divBdr>
      <w:divsChild>
        <w:div w:id="2069183600">
          <w:marLeft w:val="0"/>
          <w:marRight w:val="0"/>
          <w:marTop w:val="0"/>
          <w:marBottom w:val="0"/>
          <w:divBdr>
            <w:top w:val="none" w:sz="0" w:space="0" w:color="auto"/>
            <w:left w:val="none" w:sz="0" w:space="0" w:color="auto"/>
            <w:bottom w:val="none" w:sz="0" w:space="0" w:color="auto"/>
            <w:right w:val="none" w:sz="0" w:space="0" w:color="auto"/>
          </w:divBdr>
          <w:divsChild>
            <w:div w:id="1391149681">
              <w:marLeft w:val="0"/>
              <w:marRight w:val="0"/>
              <w:marTop w:val="0"/>
              <w:marBottom w:val="0"/>
              <w:divBdr>
                <w:top w:val="none" w:sz="0" w:space="0" w:color="auto"/>
                <w:left w:val="none" w:sz="0" w:space="0" w:color="auto"/>
                <w:bottom w:val="none" w:sz="0" w:space="0" w:color="auto"/>
                <w:right w:val="none" w:sz="0" w:space="0" w:color="auto"/>
              </w:divBdr>
              <w:divsChild>
                <w:div w:id="303974380">
                  <w:marLeft w:val="0"/>
                  <w:marRight w:val="0"/>
                  <w:marTop w:val="0"/>
                  <w:marBottom w:val="0"/>
                  <w:divBdr>
                    <w:top w:val="none" w:sz="0" w:space="0" w:color="auto"/>
                    <w:left w:val="none" w:sz="0" w:space="0" w:color="auto"/>
                    <w:bottom w:val="none" w:sz="0" w:space="0" w:color="auto"/>
                    <w:right w:val="none" w:sz="0" w:space="0" w:color="auto"/>
                  </w:divBdr>
                  <w:divsChild>
                    <w:div w:id="84764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648208">
      <w:bodyDiv w:val="1"/>
      <w:marLeft w:val="0"/>
      <w:marRight w:val="0"/>
      <w:marTop w:val="0"/>
      <w:marBottom w:val="0"/>
      <w:divBdr>
        <w:top w:val="none" w:sz="0" w:space="0" w:color="auto"/>
        <w:left w:val="none" w:sz="0" w:space="0" w:color="auto"/>
        <w:bottom w:val="none" w:sz="0" w:space="0" w:color="auto"/>
        <w:right w:val="none" w:sz="0" w:space="0" w:color="auto"/>
      </w:divBdr>
    </w:div>
    <w:div w:id="1005866541">
      <w:bodyDiv w:val="1"/>
      <w:marLeft w:val="0"/>
      <w:marRight w:val="0"/>
      <w:marTop w:val="0"/>
      <w:marBottom w:val="0"/>
      <w:divBdr>
        <w:top w:val="none" w:sz="0" w:space="0" w:color="auto"/>
        <w:left w:val="none" w:sz="0" w:space="0" w:color="auto"/>
        <w:bottom w:val="none" w:sz="0" w:space="0" w:color="auto"/>
        <w:right w:val="none" w:sz="0" w:space="0" w:color="auto"/>
      </w:divBdr>
      <w:divsChild>
        <w:div w:id="1368217261">
          <w:marLeft w:val="0"/>
          <w:marRight w:val="0"/>
          <w:marTop w:val="0"/>
          <w:marBottom w:val="0"/>
          <w:divBdr>
            <w:top w:val="none" w:sz="0" w:space="0" w:color="auto"/>
            <w:left w:val="none" w:sz="0" w:space="0" w:color="auto"/>
            <w:bottom w:val="none" w:sz="0" w:space="0" w:color="auto"/>
            <w:right w:val="none" w:sz="0" w:space="0" w:color="auto"/>
          </w:divBdr>
          <w:divsChild>
            <w:div w:id="49348870">
              <w:marLeft w:val="0"/>
              <w:marRight w:val="0"/>
              <w:marTop w:val="0"/>
              <w:marBottom w:val="0"/>
              <w:divBdr>
                <w:top w:val="none" w:sz="0" w:space="0" w:color="auto"/>
                <w:left w:val="none" w:sz="0" w:space="0" w:color="auto"/>
                <w:bottom w:val="none" w:sz="0" w:space="0" w:color="auto"/>
                <w:right w:val="none" w:sz="0" w:space="0" w:color="auto"/>
              </w:divBdr>
              <w:divsChild>
                <w:div w:id="2055809190">
                  <w:marLeft w:val="0"/>
                  <w:marRight w:val="0"/>
                  <w:marTop w:val="0"/>
                  <w:marBottom w:val="0"/>
                  <w:divBdr>
                    <w:top w:val="none" w:sz="0" w:space="0" w:color="auto"/>
                    <w:left w:val="none" w:sz="0" w:space="0" w:color="auto"/>
                    <w:bottom w:val="none" w:sz="0" w:space="0" w:color="auto"/>
                    <w:right w:val="none" w:sz="0" w:space="0" w:color="auto"/>
                  </w:divBdr>
                  <w:divsChild>
                    <w:div w:id="62627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858474">
      <w:bodyDiv w:val="1"/>
      <w:marLeft w:val="0"/>
      <w:marRight w:val="0"/>
      <w:marTop w:val="0"/>
      <w:marBottom w:val="0"/>
      <w:divBdr>
        <w:top w:val="none" w:sz="0" w:space="0" w:color="auto"/>
        <w:left w:val="none" w:sz="0" w:space="0" w:color="auto"/>
        <w:bottom w:val="none" w:sz="0" w:space="0" w:color="auto"/>
        <w:right w:val="none" w:sz="0" w:space="0" w:color="auto"/>
      </w:divBdr>
    </w:div>
    <w:div w:id="1227182371">
      <w:bodyDiv w:val="1"/>
      <w:marLeft w:val="0"/>
      <w:marRight w:val="0"/>
      <w:marTop w:val="0"/>
      <w:marBottom w:val="0"/>
      <w:divBdr>
        <w:top w:val="none" w:sz="0" w:space="0" w:color="auto"/>
        <w:left w:val="none" w:sz="0" w:space="0" w:color="auto"/>
        <w:bottom w:val="none" w:sz="0" w:space="0" w:color="auto"/>
        <w:right w:val="none" w:sz="0" w:space="0" w:color="auto"/>
      </w:divBdr>
    </w:div>
    <w:div w:id="1244561250">
      <w:bodyDiv w:val="1"/>
      <w:marLeft w:val="0"/>
      <w:marRight w:val="0"/>
      <w:marTop w:val="0"/>
      <w:marBottom w:val="0"/>
      <w:divBdr>
        <w:top w:val="none" w:sz="0" w:space="0" w:color="auto"/>
        <w:left w:val="none" w:sz="0" w:space="0" w:color="auto"/>
        <w:bottom w:val="none" w:sz="0" w:space="0" w:color="auto"/>
        <w:right w:val="none" w:sz="0" w:space="0" w:color="auto"/>
      </w:divBdr>
    </w:div>
    <w:div w:id="1281912561">
      <w:bodyDiv w:val="1"/>
      <w:marLeft w:val="0"/>
      <w:marRight w:val="0"/>
      <w:marTop w:val="0"/>
      <w:marBottom w:val="0"/>
      <w:divBdr>
        <w:top w:val="none" w:sz="0" w:space="0" w:color="auto"/>
        <w:left w:val="none" w:sz="0" w:space="0" w:color="auto"/>
        <w:bottom w:val="none" w:sz="0" w:space="0" w:color="auto"/>
        <w:right w:val="none" w:sz="0" w:space="0" w:color="auto"/>
      </w:divBdr>
    </w:div>
    <w:div w:id="1295058711">
      <w:bodyDiv w:val="1"/>
      <w:marLeft w:val="0"/>
      <w:marRight w:val="0"/>
      <w:marTop w:val="0"/>
      <w:marBottom w:val="0"/>
      <w:divBdr>
        <w:top w:val="none" w:sz="0" w:space="0" w:color="auto"/>
        <w:left w:val="none" w:sz="0" w:space="0" w:color="auto"/>
        <w:bottom w:val="none" w:sz="0" w:space="0" w:color="auto"/>
        <w:right w:val="none" w:sz="0" w:space="0" w:color="auto"/>
      </w:divBdr>
    </w:div>
    <w:div w:id="1301616316">
      <w:bodyDiv w:val="1"/>
      <w:marLeft w:val="0"/>
      <w:marRight w:val="0"/>
      <w:marTop w:val="0"/>
      <w:marBottom w:val="0"/>
      <w:divBdr>
        <w:top w:val="none" w:sz="0" w:space="0" w:color="auto"/>
        <w:left w:val="none" w:sz="0" w:space="0" w:color="auto"/>
        <w:bottom w:val="none" w:sz="0" w:space="0" w:color="auto"/>
        <w:right w:val="none" w:sz="0" w:space="0" w:color="auto"/>
      </w:divBdr>
    </w:div>
    <w:div w:id="1390180201">
      <w:bodyDiv w:val="1"/>
      <w:marLeft w:val="0"/>
      <w:marRight w:val="0"/>
      <w:marTop w:val="0"/>
      <w:marBottom w:val="0"/>
      <w:divBdr>
        <w:top w:val="none" w:sz="0" w:space="0" w:color="auto"/>
        <w:left w:val="none" w:sz="0" w:space="0" w:color="auto"/>
        <w:bottom w:val="none" w:sz="0" w:space="0" w:color="auto"/>
        <w:right w:val="none" w:sz="0" w:space="0" w:color="auto"/>
      </w:divBdr>
    </w:div>
    <w:div w:id="1440369723">
      <w:bodyDiv w:val="1"/>
      <w:marLeft w:val="0"/>
      <w:marRight w:val="0"/>
      <w:marTop w:val="0"/>
      <w:marBottom w:val="0"/>
      <w:divBdr>
        <w:top w:val="none" w:sz="0" w:space="0" w:color="auto"/>
        <w:left w:val="none" w:sz="0" w:space="0" w:color="auto"/>
        <w:bottom w:val="none" w:sz="0" w:space="0" w:color="auto"/>
        <w:right w:val="none" w:sz="0" w:space="0" w:color="auto"/>
      </w:divBdr>
    </w:div>
    <w:div w:id="1497651688">
      <w:bodyDiv w:val="1"/>
      <w:marLeft w:val="0"/>
      <w:marRight w:val="0"/>
      <w:marTop w:val="0"/>
      <w:marBottom w:val="0"/>
      <w:divBdr>
        <w:top w:val="none" w:sz="0" w:space="0" w:color="auto"/>
        <w:left w:val="none" w:sz="0" w:space="0" w:color="auto"/>
        <w:bottom w:val="none" w:sz="0" w:space="0" w:color="auto"/>
        <w:right w:val="none" w:sz="0" w:space="0" w:color="auto"/>
      </w:divBdr>
    </w:div>
    <w:div w:id="1536428724">
      <w:bodyDiv w:val="1"/>
      <w:marLeft w:val="0"/>
      <w:marRight w:val="0"/>
      <w:marTop w:val="0"/>
      <w:marBottom w:val="0"/>
      <w:divBdr>
        <w:top w:val="none" w:sz="0" w:space="0" w:color="auto"/>
        <w:left w:val="none" w:sz="0" w:space="0" w:color="auto"/>
        <w:bottom w:val="none" w:sz="0" w:space="0" w:color="auto"/>
        <w:right w:val="none" w:sz="0" w:space="0" w:color="auto"/>
      </w:divBdr>
      <w:divsChild>
        <w:div w:id="184490665">
          <w:marLeft w:val="0"/>
          <w:marRight w:val="0"/>
          <w:marTop w:val="0"/>
          <w:marBottom w:val="0"/>
          <w:divBdr>
            <w:top w:val="none" w:sz="0" w:space="0" w:color="auto"/>
            <w:left w:val="none" w:sz="0" w:space="0" w:color="auto"/>
            <w:bottom w:val="none" w:sz="0" w:space="0" w:color="auto"/>
            <w:right w:val="none" w:sz="0" w:space="0" w:color="auto"/>
          </w:divBdr>
          <w:divsChild>
            <w:div w:id="2061859318">
              <w:marLeft w:val="0"/>
              <w:marRight w:val="0"/>
              <w:marTop w:val="0"/>
              <w:marBottom w:val="0"/>
              <w:divBdr>
                <w:top w:val="none" w:sz="0" w:space="0" w:color="auto"/>
                <w:left w:val="none" w:sz="0" w:space="0" w:color="auto"/>
                <w:bottom w:val="none" w:sz="0" w:space="0" w:color="auto"/>
                <w:right w:val="none" w:sz="0" w:space="0" w:color="auto"/>
              </w:divBdr>
              <w:divsChild>
                <w:div w:id="41825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852964">
      <w:bodyDiv w:val="1"/>
      <w:marLeft w:val="0"/>
      <w:marRight w:val="0"/>
      <w:marTop w:val="0"/>
      <w:marBottom w:val="0"/>
      <w:divBdr>
        <w:top w:val="none" w:sz="0" w:space="0" w:color="auto"/>
        <w:left w:val="none" w:sz="0" w:space="0" w:color="auto"/>
        <w:bottom w:val="none" w:sz="0" w:space="0" w:color="auto"/>
        <w:right w:val="none" w:sz="0" w:space="0" w:color="auto"/>
      </w:divBdr>
    </w:div>
    <w:div w:id="1590430141">
      <w:bodyDiv w:val="1"/>
      <w:marLeft w:val="0"/>
      <w:marRight w:val="0"/>
      <w:marTop w:val="0"/>
      <w:marBottom w:val="0"/>
      <w:divBdr>
        <w:top w:val="none" w:sz="0" w:space="0" w:color="auto"/>
        <w:left w:val="none" w:sz="0" w:space="0" w:color="auto"/>
        <w:bottom w:val="none" w:sz="0" w:space="0" w:color="auto"/>
        <w:right w:val="none" w:sz="0" w:space="0" w:color="auto"/>
      </w:divBdr>
      <w:divsChild>
        <w:div w:id="939600681">
          <w:marLeft w:val="0"/>
          <w:marRight w:val="0"/>
          <w:marTop w:val="0"/>
          <w:marBottom w:val="0"/>
          <w:divBdr>
            <w:top w:val="none" w:sz="0" w:space="0" w:color="auto"/>
            <w:left w:val="none" w:sz="0" w:space="0" w:color="auto"/>
            <w:bottom w:val="none" w:sz="0" w:space="0" w:color="auto"/>
            <w:right w:val="none" w:sz="0" w:space="0" w:color="auto"/>
          </w:divBdr>
          <w:divsChild>
            <w:div w:id="1789818416">
              <w:marLeft w:val="0"/>
              <w:marRight w:val="0"/>
              <w:marTop w:val="0"/>
              <w:marBottom w:val="0"/>
              <w:divBdr>
                <w:top w:val="none" w:sz="0" w:space="0" w:color="auto"/>
                <w:left w:val="none" w:sz="0" w:space="0" w:color="auto"/>
                <w:bottom w:val="none" w:sz="0" w:space="0" w:color="auto"/>
                <w:right w:val="none" w:sz="0" w:space="0" w:color="auto"/>
              </w:divBdr>
              <w:divsChild>
                <w:div w:id="845095931">
                  <w:marLeft w:val="0"/>
                  <w:marRight w:val="0"/>
                  <w:marTop w:val="0"/>
                  <w:marBottom w:val="0"/>
                  <w:divBdr>
                    <w:top w:val="none" w:sz="0" w:space="0" w:color="auto"/>
                    <w:left w:val="none" w:sz="0" w:space="0" w:color="auto"/>
                    <w:bottom w:val="none" w:sz="0" w:space="0" w:color="auto"/>
                    <w:right w:val="none" w:sz="0" w:space="0" w:color="auto"/>
                  </w:divBdr>
                  <w:divsChild>
                    <w:div w:id="143428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527409">
      <w:bodyDiv w:val="1"/>
      <w:marLeft w:val="0"/>
      <w:marRight w:val="0"/>
      <w:marTop w:val="0"/>
      <w:marBottom w:val="0"/>
      <w:divBdr>
        <w:top w:val="none" w:sz="0" w:space="0" w:color="auto"/>
        <w:left w:val="none" w:sz="0" w:space="0" w:color="auto"/>
        <w:bottom w:val="none" w:sz="0" w:space="0" w:color="auto"/>
        <w:right w:val="none" w:sz="0" w:space="0" w:color="auto"/>
      </w:divBdr>
    </w:div>
    <w:div w:id="1776899190">
      <w:bodyDiv w:val="1"/>
      <w:marLeft w:val="0"/>
      <w:marRight w:val="0"/>
      <w:marTop w:val="0"/>
      <w:marBottom w:val="0"/>
      <w:divBdr>
        <w:top w:val="none" w:sz="0" w:space="0" w:color="auto"/>
        <w:left w:val="none" w:sz="0" w:space="0" w:color="auto"/>
        <w:bottom w:val="none" w:sz="0" w:space="0" w:color="auto"/>
        <w:right w:val="none" w:sz="0" w:space="0" w:color="auto"/>
      </w:divBdr>
    </w:div>
    <w:div w:id="1788306046">
      <w:bodyDiv w:val="1"/>
      <w:marLeft w:val="0"/>
      <w:marRight w:val="0"/>
      <w:marTop w:val="0"/>
      <w:marBottom w:val="0"/>
      <w:divBdr>
        <w:top w:val="none" w:sz="0" w:space="0" w:color="auto"/>
        <w:left w:val="none" w:sz="0" w:space="0" w:color="auto"/>
        <w:bottom w:val="none" w:sz="0" w:space="0" w:color="auto"/>
        <w:right w:val="none" w:sz="0" w:space="0" w:color="auto"/>
      </w:divBdr>
    </w:div>
    <w:div w:id="1898080799">
      <w:bodyDiv w:val="1"/>
      <w:marLeft w:val="0"/>
      <w:marRight w:val="0"/>
      <w:marTop w:val="0"/>
      <w:marBottom w:val="0"/>
      <w:divBdr>
        <w:top w:val="none" w:sz="0" w:space="0" w:color="auto"/>
        <w:left w:val="none" w:sz="0" w:space="0" w:color="auto"/>
        <w:bottom w:val="none" w:sz="0" w:space="0" w:color="auto"/>
        <w:right w:val="none" w:sz="0" w:space="0" w:color="auto"/>
      </w:divBdr>
    </w:div>
    <w:div w:id="1947535718">
      <w:bodyDiv w:val="1"/>
      <w:marLeft w:val="0"/>
      <w:marRight w:val="0"/>
      <w:marTop w:val="0"/>
      <w:marBottom w:val="0"/>
      <w:divBdr>
        <w:top w:val="none" w:sz="0" w:space="0" w:color="auto"/>
        <w:left w:val="none" w:sz="0" w:space="0" w:color="auto"/>
        <w:bottom w:val="none" w:sz="0" w:space="0" w:color="auto"/>
        <w:right w:val="none" w:sz="0" w:space="0" w:color="auto"/>
      </w:divBdr>
    </w:div>
    <w:div w:id="1948392736">
      <w:bodyDiv w:val="1"/>
      <w:marLeft w:val="0"/>
      <w:marRight w:val="0"/>
      <w:marTop w:val="0"/>
      <w:marBottom w:val="0"/>
      <w:divBdr>
        <w:top w:val="none" w:sz="0" w:space="0" w:color="auto"/>
        <w:left w:val="none" w:sz="0" w:space="0" w:color="auto"/>
        <w:bottom w:val="none" w:sz="0" w:space="0" w:color="auto"/>
        <w:right w:val="none" w:sz="0" w:space="0" w:color="auto"/>
      </w:divBdr>
    </w:div>
    <w:div w:id="2111701146">
      <w:bodyDiv w:val="1"/>
      <w:marLeft w:val="0"/>
      <w:marRight w:val="0"/>
      <w:marTop w:val="0"/>
      <w:marBottom w:val="0"/>
      <w:divBdr>
        <w:top w:val="none" w:sz="0" w:space="0" w:color="auto"/>
        <w:left w:val="none" w:sz="0" w:space="0" w:color="auto"/>
        <w:bottom w:val="none" w:sz="0" w:space="0" w:color="auto"/>
        <w:right w:val="none" w:sz="0" w:space="0" w:color="auto"/>
      </w:divBdr>
    </w:div>
    <w:div w:id="2122843398">
      <w:bodyDiv w:val="1"/>
      <w:marLeft w:val="0"/>
      <w:marRight w:val="0"/>
      <w:marTop w:val="0"/>
      <w:marBottom w:val="0"/>
      <w:divBdr>
        <w:top w:val="none" w:sz="0" w:space="0" w:color="auto"/>
        <w:left w:val="none" w:sz="0" w:space="0" w:color="auto"/>
        <w:bottom w:val="none" w:sz="0" w:space="0" w:color="auto"/>
        <w:right w:val="none" w:sz="0" w:space="0" w:color="auto"/>
      </w:divBdr>
      <w:divsChild>
        <w:div w:id="168107510">
          <w:marLeft w:val="0"/>
          <w:marRight w:val="0"/>
          <w:marTop w:val="0"/>
          <w:marBottom w:val="0"/>
          <w:divBdr>
            <w:top w:val="none" w:sz="0" w:space="0" w:color="auto"/>
            <w:left w:val="none" w:sz="0" w:space="0" w:color="auto"/>
            <w:bottom w:val="none" w:sz="0" w:space="0" w:color="auto"/>
            <w:right w:val="none" w:sz="0" w:space="0" w:color="auto"/>
          </w:divBdr>
          <w:divsChild>
            <w:div w:id="878007102">
              <w:marLeft w:val="0"/>
              <w:marRight w:val="0"/>
              <w:marTop w:val="0"/>
              <w:marBottom w:val="0"/>
              <w:divBdr>
                <w:top w:val="none" w:sz="0" w:space="0" w:color="auto"/>
                <w:left w:val="none" w:sz="0" w:space="0" w:color="auto"/>
                <w:bottom w:val="none" w:sz="0" w:space="0" w:color="auto"/>
                <w:right w:val="none" w:sz="0" w:space="0" w:color="auto"/>
              </w:divBdr>
              <w:divsChild>
                <w:div w:id="184759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i="1">
                <a:solidFill>
                  <a:schemeClr val="accent1"/>
                </a:solidFill>
              </a:rPr>
              <a:t>Complaints Rec'd</a:t>
            </a:r>
            <a:r>
              <a:rPr lang="en-GB" b="1" i="1" baseline="0">
                <a:solidFill>
                  <a:schemeClr val="accent1"/>
                </a:solidFill>
              </a:rPr>
              <a:t> by Quarter  </a:t>
            </a:r>
          </a:p>
          <a:p>
            <a:pPr>
              <a:defRPr/>
            </a:pPr>
            <a:r>
              <a:rPr lang="en-GB" b="1" i="1" baseline="0">
                <a:solidFill>
                  <a:schemeClr val="accent1"/>
                </a:solidFill>
              </a:rPr>
              <a:t>2022/2023 - 2024/2025</a:t>
            </a:r>
            <a:endParaRPr lang="en-GB" b="1" i="1">
              <a:solidFill>
                <a:schemeClr val="accent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'Complaints Rec''d per Quarter '!$A$2</c:f>
              <c:strCache>
                <c:ptCount val="1"/>
                <c:pt idx="0">
                  <c:v>2022/2023</c:v>
                </c:pt>
              </c:strCache>
            </c:strRef>
          </c:tx>
          <c:spPr>
            <a:solidFill>
              <a:schemeClr val="accent1"/>
            </a:solidFill>
            <a:ln>
              <a:noFill/>
            </a:ln>
            <a:effectLst/>
          </c:spPr>
          <c:invertIfNegative val="0"/>
          <c:cat>
            <c:strRef>
              <c:f>'Complaints Rec''d per Quarter '!$B$1:$E$1</c:f>
              <c:strCache>
                <c:ptCount val="4"/>
                <c:pt idx="0">
                  <c:v>Q1</c:v>
                </c:pt>
                <c:pt idx="1">
                  <c:v>Q2</c:v>
                </c:pt>
                <c:pt idx="2">
                  <c:v>Q3</c:v>
                </c:pt>
                <c:pt idx="3">
                  <c:v>Q4</c:v>
                </c:pt>
              </c:strCache>
            </c:strRef>
          </c:cat>
          <c:val>
            <c:numRef>
              <c:f>'Complaints Rec''d per Quarter '!$B$2:$E$2</c:f>
              <c:numCache>
                <c:formatCode>General</c:formatCode>
                <c:ptCount val="4"/>
                <c:pt idx="0">
                  <c:v>248</c:v>
                </c:pt>
                <c:pt idx="1">
                  <c:v>241</c:v>
                </c:pt>
                <c:pt idx="2">
                  <c:v>247</c:v>
                </c:pt>
                <c:pt idx="3">
                  <c:v>253</c:v>
                </c:pt>
              </c:numCache>
            </c:numRef>
          </c:val>
          <c:extLst>
            <c:ext xmlns:c16="http://schemas.microsoft.com/office/drawing/2014/chart" uri="{C3380CC4-5D6E-409C-BE32-E72D297353CC}">
              <c16:uniqueId val="{00000000-4DDF-48AD-A98C-AF0E260494D9}"/>
            </c:ext>
          </c:extLst>
        </c:ser>
        <c:ser>
          <c:idx val="1"/>
          <c:order val="1"/>
          <c:tx>
            <c:strRef>
              <c:f>'Complaints Rec''d per Quarter '!$A$3</c:f>
              <c:strCache>
                <c:ptCount val="1"/>
                <c:pt idx="0">
                  <c:v>2023/2024</c:v>
                </c:pt>
              </c:strCache>
            </c:strRef>
          </c:tx>
          <c:spPr>
            <a:solidFill>
              <a:schemeClr val="accent2"/>
            </a:solidFill>
            <a:ln>
              <a:noFill/>
            </a:ln>
            <a:effectLst/>
          </c:spPr>
          <c:invertIfNegative val="0"/>
          <c:cat>
            <c:strRef>
              <c:f>'Complaints Rec''d per Quarter '!$B$1:$E$1</c:f>
              <c:strCache>
                <c:ptCount val="4"/>
                <c:pt idx="0">
                  <c:v>Q1</c:v>
                </c:pt>
                <c:pt idx="1">
                  <c:v>Q2</c:v>
                </c:pt>
                <c:pt idx="2">
                  <c:v>Q3</c:v>
                </c:pt>
                <c:pt idx="3">
                  <c:v>Q4</c:v>
                </c:pt>
              </c:strCache>
            </c:strRef>
          </c:cat>
          <c:val>
            <c:numRef>
              <c:f>'Complaints Rec''d per Quarter '!$B$3:$E$3</c:f>
              <c:numCache>
                <c:formatCode>General</c:formatCode>
                <c:ptCount val="4"/>
                <c:pt idx="0">
                  <c:v>246</c:v>
                </c:pt>
                <c:pt idx="1">
                  <c:v>272</c:v>
                </c:pt>
                <c:pt idx="2">
                  <c:v>272</c:v>
                </c:pt>
                <c:pt idx="3">
                  <c:v>297</c:v>
                </c:pt>
              </c:numCache>
            </c:numRef>
          </c:val>
          <c:extLst>
            <c:ext xmlns:c16="http://schemas.microsoft.com/office/drawing/2014/chart" uri="{C3380CC4-5D6E-409C-BE32-E72D297353CC}">
              <c16:uniqueId val="{00000001-4DDF-48AD-A98C-AF0E260494D9}"/>
            </c:ext>
          </c:extLst>
        </c:ser>
        <c:ser>
          <c:idx val="2"/>
          <c:order val="2"/>
          <c:tx>
            <c:strRef>
              <c:f>'Complaints Rec''d per Quarter '!$A$4</c:f>
              <c:strCache>
                <c:ptCount val="1"/>
                <c:pt idx="0">
                  <c:v>2024/2025</c:v>
                </c:pt>
              </c:strCache>
            </c:strRef>
          </c:tx>
          <c:spPr>
            <a:solidFill>
              <a:schemeClr val="accent3"/>
            </a:solidFill>
            <a:ln>
              <a:noFill/>
            </a:ln>
            <a:effectLst/>
          </c:spPr>
          <c:invertIfNegative val="0"/>
          <c:cat>
            <c:strRef>
              <c:f>'Complaints Rec''d per Quarter '!$B$1:$E$1</c:f>
              <c:strCache>
                <c:ptCount val="4"/>
                <c:pt idx="0">
                  <c:v>Q1</c:v>
                </c:pt>
                <c:pt idx="1">
                  <c:v>Q2</c:v>
                </c:pt>
                <c:pt idx="2">
                  <c:v>Q3</c:v>
                </c:pt>
                <c:pt idx="3">
                  <c:v>Q4</c:v>
                </c:pt>
              </c:strCache>
            </c:strRef>
          </c:cat>
          <c:val>
            <c:numRef>
              <c:f>'Complaints Rec''d per Quarter '!$B$4:$E$4</c:f>
              <c:numCache>
                <c:formatCode>General</c:formatCode>
                <c:ptCount val="4"/>
                <c:pt idx="0">
                  <c:v>282</c:v>
                </c:pt>
                <c:pt idx="1">
                  <c:v>288</c:v>
                </c:pt>
                <c:pt idx="2">
                  <c:v>247</c:v>
                </c:pt>
                <c:pt idx="3">
                  <c:v>258</c:v>
                </c:pt>
              </c:numCache>
            </c:numRef>
          </c:val>
          <c:extLst>
            <c:ext xmlns:c16="http://schemas.microsoft.com/office/drawing/2014/chart" uri="{C3380CC4-5D6E-409C-BE32-E72D297353CC}">
              <c16:uniqueId val="{00000002-4DDF-48AD-A98C-AF0E260494D9}"/>
            </c:ext>
          </c:extLst>
        </c:ser>
        <c:dLbls>
          <c:showLegendKey val="0"/>
          <c:showVal val="0"/>
          <c:showCatName val="0"/>
          <c:showSerName val="0"/>
          <c:showPercent val="0"/>
          <c:showBubbleSize val="0"/>
        </c:dLbls>
        <c:gapWidth val="219"/>
        <c:overlap val="-27"/>
        <c:axId val="1148206543"/>
        <c:axId val="1148213263"/>
      </c:barChart>
      <c:catAx>
        <c:axId val="114820654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t>Quarter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8213263"/>
        <c:crosses val="autoZero"/>
        <c:auto val="1"/>
        <c:lblAlgn val="ctr"/>
        <c:lblOffset val="100"/>
        <c:noMultiLvlLbl val="0"/>
      </c:catAx>
      <c:valAx>
        <c:axId val="114821326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t>Number</a:t>
                </a:r>
                <a:r>
                  <a:rPr lang="en-GB" b="1" baseline="0"/>
                  <a:t> of Complaints</a:t>
                </a:r>
                <a:endParaRPr lang="en-GB" b="1"/>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82065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3A1A5-33B7-4FE3-8186-0BFB88B1629E}">
  <ds:schemaRefs>
    <ds:schemaRef ds:uri="http://schemas.openxmlformats.org/officeDocument/2006/bibliography"/>
    <ds:schemaRef ds:uri="http://www.w3.org/2000/xmln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17</Pages>
  <Words>4955</Words>
  <Characters>28246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Gloucestershire NHS</Company>
  <LinksUpToDate>false</LinksUpToDate>
  <CharactersWithSpaces>33135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dc:creator>
  <cp:keywords/>
  <dc:description/>
  <cp:lastModifiedBy>MASON-HIGGINS, Jo (GLOUCESTERSHIRE HOSPITALS NHS FOUNDATION TRUST)</cp:lastModifiedBy>
  <cp:revision>2</cp:revision>
  <cp:lastPrinted>2019-07-19T10:51:00Z</cp:lastPrinted>
  <dcterms:created xsi:type="dcterms:W3CDTF">2025-09-09T13:39:00Z</dcterms:created>
  <dcterms:modified xsi:type="dcterms:W3CDTF">2025-09-09T13:39:00Z</dcterms:modified>
</cp:coreProperties>
</file>