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C0EB" w14:textId="78BCAE26" w:rsidR="00926825" w:rsidRDefault="00B3374E">
      <w:r>
        <w:rPr>
          <w:noProof/>
        </w:rPr>
        <w:drawing>
          <wp:inline distT="0" distB="0" distL="0" distR="0" wp14:anchorId="2FB48A05" wp14:editId="02A02F2D">
            <wp:extent cx="5731510" cy="8106410"/>
            <wp:effectExtent l="0" t="0" r="2540" b="8890"/>
            <wp:docPr id="19846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8106410"/>
                    </a:xfrm>
                    <a:prstGeom prst="rect">
                      <a:avLst/>
                    </a:prstGeom>
                    <a:noFill/>
                    <a:ln>
                      <a:noFill/>
                    </a:ln>
                  </pic:spPr>
                </pic:pic>
              </a:graphicData>
            </a:graphic>
          </wp:inline>
        </w:drawing>
      </w:r>
    </w:p>
    <w:p w14:paraId="39CCF5A1" w14:textId="77777777" w:rsidR="00A15718" w:rsidRDefault="00A15718"/>
    <w:p w14:paraId="4ADF1D9A" w14:textId="77777777" w:rsidR="009E6DA0" w:rsidRDefault="009E6DA0" w:rsidP="009E6DA0">
      <w:pPr>
        <w:pStyle w:val="Title"/>
        <w:rPr>
          <w:rFonts w:ascii="Arial" w:hAnsi="Arial" w:cs="Arial"/>
          <w:b/>
          <w:bCs/>
          <w:sz w:val="24"/>
          <w:szCs w:val="24"/>
        </w:rPr>
      </w:pPr>
    </w:p>
    <w:p w14:paraId="1B03C46E" w14:textId="793D9737" w:rsidR="00A15718" w:rsidRPr="009E6DA0" w:rsidRDefault="00A15718" w:rsidP="009E6DA0">
      <w:pPr>
        <w:pStyle w:val="Title"/>
        <w:rPr>
          <w:rFonts w:ascii="Arial" w:hAnsi="Arial" w:cs="Arial"/>
          <w:b/>
          <w:bCs/>
          <w:sz w:val="24"/>
          <w:szCs w:val="24"/>
        </w:rPr>
      </w:pPr>
      <w:r w:rsidRPr="009E6DA0">
        <w:rPr>
          <w:rFonts w:ascii="Arial" w:hAnsi="Arial" w:cs="Arial"/>
          <w:b/>
          <w:bCs/>
          <w:sz w:val="24"/>
          <w:szCs w:val="24"/>
        </w:rPr>
        <w:lastRenderedPageBreak/>
        <w:t>Executive Summary</w:t>
      </w:r>
    </w:p>
    <w:p w14:paraId="5DD8539D" w14:textId="05E41B9B" w:rsidR="00A15718" w:rsidRPr="00A15718" w:rsidRDefault="00A15718" w:rsidP="009E6DA0">
      <w:pPr>
        <w:spacing w:after="0" w:line="276" w:lineRule="auto"/>
        <w:jc w:val="both"/>
        <w:rPr>
          <w:rFonts w:ascii="Arial" w:hAnsi="Arial" w:cs="Arial"/>
          <w:sz w:val="24"/>
          <w:szCs w:val="24"/>
        </w:rPr>
      </w:pPr>
      <w:r w:rsidRPr="00A15718">
        <w:rPr>
          <w:rFonts w:ascii="Arial" w:hAnsi="Arial" w:cs="Arial"/>
          <w:sz w:val="24"/>
          <w:szCs w:val="24"/>
        </w:rPr>
        <w:t>This report outlines the Trust’s Gender, Ethnicity and Disability Pay Gaps for 2025 and highlights where inequalities remain in our workforce.</w:t>
      </w:r>
    </w:p>
    <w:p w14:paraId="7034508B" w14:textId="5E6B84F3" w:rsidR="00A15718" w:rsidRPr="009E6DA0" w:rsidRDefault="00A15718" w:rsidP="009E6DA0">
      <w:pPr>
        <w:pStyle w:val="ListParagraph"/>
        <w:numPr>
          <w:ilvl w:val="0"/>
          <w:numId w:val="14"/>
        </w:numPr>
        <w:spacing w:after="0" w:line="276" w:lineRule="auto"/>
        <w:jc w:val="both"/>
        <w:rPr>
          <w:rFonts w:ascii="Arial" w:hAnsi="Arial" w:cs="Arial"/>
          <w:sz w:val="24"/>
          <w:szCs w:val="24"/>
        </w:rPr>
      </w:pPr>
      <w:r w:rsidRPr="009E6DA0">
        <w:rPr>
          <w:rFonts w:ascii="Arial" w:hAnsi="Arial" w:cs="Arial"/>
          <w:sz w:val="24"/>
          <w:szCs w:val="24"/>
        </w:rPr>
        <w:t>The Gender Pay Gap has increased to a 26.5% mean and 17.8% median gap, both in favour of men. Much of this is driven by high</w:t>
      </w:r>
      <w:r w:rsidRPr="009E6DA0">
        <w:rPr>
          <w:rFonts w:ascii="Arial" w:hAnsi="Arial" w:cs="Arial"/>
          <w:sz w:val="24"/>
          <w:szCs w:val="24"/>
        </w:rPr>
        <w:noBreakHyphen/>
        <w:t>value Clinical Excellence Awards within the Medical and Dental workforce.</w:t>
      </w:r>
    </w:p>
    <w:p w14:paraId="2202E321" w14:textId="77777777" w:rsidR="00A15718" w:rsidRPr="009E6DA0" w:rsidRDefault="00A15718" w:rsidP="009E6DA0">
      <w:pPr>
        <w:pStyle w:val="ListParagraph"/>
        <w:numPr>
          <w:ilvl w:val="0"/>
          <w:numId w:val="14"/>
        </w:numPr>
        <w:spacing w:before="360" w:after="0" w:line="276" w:lineRule="auto"/>
        <w:jc w:val="both"/>
        <w:rPr>
          <w:rFonts w:ascii="Arial" w:hAnsi="Arial" w:cs="Arial"/>
          <w:sz w:val="24"/>
          <w:szCs w:val="24"/>
        </w:rPr>
      </w:pPr>
      <w:r w:rsidRPr="009E6DA0">
        <w:rPr>
          <w:rFonts w:ascii="Arial" w:hAnsi="Arial" w:cs="Arial"/>
          <w:sz w:val="24"/>
          <w:szCs w:val="24"/>
        </w:rPr>
        <w:t>When Medical and Dental staff are excluded, the pay gap reduces significantly, showing near equal mean pay and a median gap in favour of women.</w:t>
      </w:r>
    </w:p>
    <w:p w14:paraId="63D01B90" w14:textId="77777777" w:rsidR="00A15718" w:rsidRPr="009E6DA0" w:rsidRDefault="00A15718" w:rsidP="009E6DA0">
      <w:pPr>
        <w:pStyle w:val="ListParagraph"/>
        <w:numPr>
          <w:ilvl w:val="0"/>
          <w:numId w:val="14"/>
        </w:numPr>
        <w:spacing w:before="360" w:after="0" w:line="276" w:lineRule="auto"/>
        <w:jc w:val="both"/>
        <w:rPr>
          <w:rFonts w:ascii="Arial" w:hAnsi="Arial" w:cs="Arial"/>
          <w:sz w:val="24"/>
          <w:szCs w:val="24"/>
        </w:rPr>
      </w:pPr>
      <w:r w:rsidRPr="009E6DA0">
        <w:rPr>
          <w:rFonts w:ascii="Arial" w:hAnsi="Arial" w:cs="Arial"/>
          <w:sz w:val="24"/>
          <w:szCs w:val="24"/>
        </w:rPr>
        <w:t>The Ethnicity Pay Gap is 1.2% in favour of ethnic minority staff, continuing a positive trend.</w:t>
      </w:r>
    </w:p>
    <w:p w14:paraId="41BE5474" w14:textId="77777777" w:rsidR="00A15718" w:rsidRPr="009E6DA0" w:rsidRDefault="00A15718" w:rsidP="009E6DA0">
      <w:pPr>
        <w:pStyle w:val="ListParagraph"/>
        <w:numPr>
          <w:ilvl w:val="0"/>
          <w:numId w:val="14"/>
        </w:numPr>
        <w:spacing w:before="360" w:after="0" w:line="276" w:lineRule="auto"/>
        <w:jc w:val="both"/>
        <w:rPr>
          <w:rFonts w:ascii="Arial" w:hAnsi="Arial" w:cs="Arial"/>
          <w:sz w:val="24"/>
          <w:szCs w:val="24"/>
        </w:rPr>
      </w:pPr>
      <w:r w:rsidRPr="009E6DA0">
        <w:rPr>
          <w:rFonts w:ascii="Arial" w:hAnsi="Arial" w:cs="Arial"/>
          <w:sz w:val="24"/>
          <w:szCs w:val="24"/>
        </w:rPr>
        <w:t>The Disability Pay Gap is 13.1% in favour of non</w:t>
      </w:r>
      <w:r w:rsidRPr="009E6DA0">
        <w:rPr>
          <w:rFonts w:ascii="Arial" w:hAnsi="Arial" w:cs="Arial"/>
          <w:sz w:val="24"/>
          <w:szCs w:val="24"/>
        </w:rPr>
        <w:noBreakHyphen/>
        <w:t>disabled staff, reflecting lower numbers of disabled colleagues in higher</w:t>
      </w:r>
      <w:r w:rsidRPr="009E6DA0">
        <w:rPr>
          <w:rFonts w:ascii="Arial" w:hAnsi="Arial" w:cs="Arial"/>
          <w:sz w:val="24"/>
          <w:szCs w:val="24"/>
        </w:rPr>
        <w:noBreakHyphen/>
        <w:t>banded roles.</w:t>
      </w:r>
    </w:p>
    <w:p w14:paraId="3DBACA9F" w14:textId="77777777" w:rsidR="00A15718" w:rsidRPr="009E6DA0" w:rsidRDefault="00A15718" w:rsidP="009E6DA0">
      <w:pPr>
        <w:pStyle w:val="ListParagraph"/>
        <w:numPr>
          <w:ilvl w:val="0"/>
          <w:numId w:val="14"/>
        </w:numPr>
        <w:spacing w:before="360" w:after="0" w:line="276" w:lineRule="auto"/>
        <w:jc w:val="both"/>
        <w:rPr>
          <w:rFonts w:ascii="Arial" w:hAnsi="Arial" w:cs="Arial"/>
          <w:sz w:val="24"/>
          <w:szCs w:val="24"/>
        </w:rPr>
      </w:pPr>
      <w:r w:rsidRPr="009E6DA0">
        <w:rPr>
          <w:rFonts w:ascii="Arial" w:hAnsi="Arial" w:cs="Arial"/>
          <w:sz w:val="24"/>
          <w:szCs w:val="24"/>
        </w:rPr>
        <w:t>Women, ethnic minority staff and disabled staff are all underrepresented in senior roles, which contributes to pay gaps across the Trust.</w:t>
      </w:r>
    </w:p>
    <w:p w14:paraId="7A5EBE99" w14:textId="77777777" w:rsidR="00A15718" w:rsidRPr="009E6DA0" w:rsidRDefault="00A15718" w:rsidP="009E6DA0">
      <w:pPr>
        <w:spacing w:after="0" w:line="276" w:lineRule="auto"/>
        <w:ind w:left="360"/>
        <w:jc w:val="both"/>
        <w:rPr>
          <w:rFonts w:ascii="Arial" w:hAnsi="Arial" w:cs="Arial"/>
          <w:sz w:val="24"/>
          <w:szCs w:val="24"/>
        </w:rPr>
      </w:pPr>
      <w:r w:rsidRPr="009E6DA0">
        <w:rPr>
          <w:rFonts w:ascii="Arial" w:hAnsi="Arial" w:cs="Arial"/>
          <w:sz w:val="24"/>
          <w:szCs w:val="24"/>
        </w:rPr>
        <w:t>The Trust remains committed to reducing these gaps. Key actions include improving inclusive recruitment, strengthening staff networks, supporting progression, enhancing use of cultural ambassadors, and improving access to reasonable adjustments.</w:t>
      </w:r>
    </w:p>
    <w:p w14:paraId="7B85546B" w14:textId="315A904E" w:rsidR="00A15718" w:rsidRPr="00A15718" w:rsidRDefault="00A15718" w:rsidP="009E6DA0">
      <w:pPr>
        <w:spacing w:before="360" w:line="276" w:lineRule="auto"/>
        <w:jc w:val="both"/>
        <w:rPr>
          <w:rFonts w:ascii="Arial" w:hAnsi="Arial" w:cs="Arial"/>
          <w:b/>
          <w:bCs/>
          <w:sz w:val="24"/>
          <w:szCs w:val="24"/>
        </w:rPr>
      </w:pPr>
      <w:r w:rsidRPr="00A15718">
        <w:rPr>
          <w:rFonts w:ascii="Arial" w:hAnsi="Arial" w:cs="Arial"/>
          <w:b/>
          <w:bCs/>
          <w:sz w:val="24"/>
          <w:szCs w:val="24"/>
        </w:rPr>
        <w:t>Introduction</w:t>
      </w:r>
    </w:p>
    <w:p w14:paraId="4504904C" w14:textId="77777777" w:rsidR="00A15718" w:rsidRPr="00A15718" w:rsidRDefault="00A15718" w:rsidP="00A15718">
      <w:pPr>
        <w:spacing w:after="360" w:line="276" w:lineRule="auto"/>
        <w:jc w:val="both"/>
        <w:rPr>
          <w:rFonts w:ascii="Arial" w:hAnsi="Arial" w:cs="Arial"/>
          <w:sz w:val="24"/>
          <w:szCs w:val="24"/>
        </w:rPr>
      </w:pPr>
      <w:r w:rsidRPr="00A15718">
        <w:rPr>
          <w:rFonts w:ascii="Arial" w:hAnsi="Arial" w:cs="Arial"/>
          <w:sz w:val="24"/>
          <w:szCs w:val="24"/>
        </w:rPr>
        <w:t>The Equality Act 2010 requires public sector organisations with over 250 employees to publish their Gender Pay Gap each year. Although reporting on Ethnicity and Disability Pay Gaps is not mandatory, the Trust chooses to publish this information to support transparency and improvement.</w:t>
      </w:r>
    </w:p>
    <w:p w14:paraId="5B207E29" w14:textId="77777777" w:rsidR="00A15718" w:rsidRPr="00A15718" w:rsidRDefault="00A15718" w:rsidP="00A15718">
      <w:pPr>
        <w:spacing w:before="360" w:after="360" w:line="276" w:lineRule="auto"/>
        <w:jc w:val="both"/>
        <w:rPr>
          <w:rFonts w:ascii="Arial" w:hAnsi="Arial" w:cs="Arial"/>
          <w:sz w:val="24"/>
          <w:szCs w:val="24"/>
        </w:rPr>
      </w:pPr>
      <w:r w:rsidRPr="00A15718">
        <w:rPr>
          <w:rFonts w:ascii="Arial" w:hAnsi="Arial" w:cs="Arial"/>
          <w:sz w:val="24"/>
          <w:szCs w:val="24"/>
        </w:rPr>
        <w:t>We are committed to creating a fair and inclusive workplace where all colleagues feel respected and valued. Understanding our pay gaps helps us identify where inequalities exist and where further action is needed. Reducing these gaps remains a key priority, and we will continue to take meaningful steps to support equal access to development, progression, and opportunity.</w:t>
      </w:r>
    </w:p>
    <w:p w14:paraId="0894E0D6" w14:textId="77777777" w:rsidR="00A15718" w:rsidRPr="00A15718" w:rsidRDefault="00A15718" w:rsidP="00A15718">
      <w:pPr>
        <w:spacing w:before="360" w:after="120" w:line="276" w:lineRule="auto"/>
        <w:jc w:val="both"/>
        <w:rPr>
          <w:rFonts w:ascii="Arial" w:hAnsi="Arial" w:cs="Arial"/>
          <w:sz w:val="24"/>
          <w:szCs w:val="24"/>
        </w:rPr>
      </w:pPr>
      <w:r w:rsidRPr="00A15718">
        <w:rPr>
          <w:rFonts w:ascii="Arial" w:hAnsi="Arial" w:cs="Arial"/>
          <w:sz w:val="24"/>
          <w:szCs w:val="24"/>
        </w:rPr>
        <w:t>At the time of reporting, the Trust employed 9,382 staff across a range of roles. Most staff, except Medical and Very Senior Managers, are paid through Agenda for Change, which supports consistent and equitable pay practices.</w:t>
      </w:r>
    </w:p>
    <w:p w14:paraId="52822179"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Gloucestershire Demographics (Census 2021)</w:t>
      </w:r>
    </w:p>
    <w:p w14:paraId="654AED7B" w14:textId="77777777" w:rsidR="00A15718" w:rsidRPr="00A15718" w:rsidRDefault="00A15718" w:rsidP="00A15718">
      <w:pPr>
        <w:pStyle w:val="ListParagraph"/>
        <w:numPr>
          <w:ilvl w:val="0"/>
          <w:numId w:val="3"/>
        </w:numPr>
        <w:spacing w:after="120" w:line="276" w:lineRule="auto"/>
        <w:jc w:val="both"/>
        <w:rPr>
          <w:rFonts w:ascii="Arial" w:hAnsi="Arial" w:cs="Arial"/>
          <w:vanish/>
          <w:sz w:val="24"/>
          <w:szCs w:val="24"/>
        </w:rPr>
      </w:pPr>
    </w:p>
    <w:p w14:paraId="06856F50" w14:textId="77777777" w:rsidR="00A15718" w:rsidRPr="00A15718" w:rsidRDefault="00A15718" w:rsidP="00A15718">
      <w:pPr>
        <w:pStyle w:val="ListParagraph"/>
        <w:numPr>
          <w:ilvl w:val="1"/>
          <w:numId w:val="8"/>
        </w:numPr>
        <w:spacing w:after="120" w:line="276" w:lineRule="auto"/>
        <w:jc w:val="both"/>
        <w:rPr>
          <w:rFonts w:ascii="Arial" w:hAnsi="Arial" w:cs="Arial"/>
          <w:sz w:val="24"/>
          <w:szCs w:val="24"/>
        </w:rPr>
      </w:pPr>
      <w:r w:rsidRPr="00A15718">
        <w:rPr>
          <w:rFonts w:ascii="Arial" w:hAnsi="Arial" w:cs="Arial"/>
          <w:sz w:val="24"/>
          <w:szCs w:val="24"/>
        </w:rPr>
        <w:t>51.1% of the population of Gloucestershire is female.</w:t>
      </w:r>
    </w:p>
    <w:p w14:paraId="480C0B8E" w14:textId="77777777" w:rsidR="00A15718" w:rsidRPr="00A15718" w:rsidRDefault="00A15718" w:rsidP="00A15718">
      <w:pPr>
        <w:pStyle w:val="ListParagraph"/>
        <w:numPr>
          <w:ilvl w:val="1"/>
          <w:numId w:val="8"/>
        </w:numPr>
        <w:spacing w:before="360" w:after="120" w:line="276" w:lineRule="auto"/>
        <w:jc w:val="both"/>
        <w:rPr>
          <w:rFonts w:ascii="Arial" w:hAnsi="Arial" w:cs="Arial"/>
          <w:sz w:val="24"/>
          <w:szCs w:val="24"/>
        </w:rPr>
      </w:pPr>
      <w:r w:rsidRPr="00A15718">
        <w:rPr>
          <w:rFonts w:ascii="Arial" w:hAnsi="Arial" w:cs="Arial"/>
          <w:sz w:val="24"/>
          <w:szCs w:val="24"/>
        </w:rPr>
        <w:t xml:space="preserve">48.9% of the population of Gloucestershire is male. </w:t>
      </w:r>
    </w:p>
    <w:p w14:paraId="112428F8" w14:textId="77777777" w:rsidR="00A15718" w:rsidRPr="00A15718" w:rsidRDefault="00A15718" w:rsidP="00A15718">
      <w:pPr>
        <w:pStyle w:val="ListParagraph"/>
        <w:numPr>
          <w:ilvl w:val="1"/>
          <w:numId w:val="8"/>
        </w:numPr>
        <w:spacing w:before="360" w:after="120" w:line="276" w:lineRule="auto"/>
        <w:jc w:val="both"/>
        <w:rPr>
          <w:rFonts w:ascii="Arial" w:hAnsi="Arial" w:cs="Arial"/>
          <w:sz w:val="24"/>
          <w:szCs w:val="24"/>
        </w:rPr>
      </w:pPr>
      <w:r w:rsidRPr="00A15718">
        <w:rPr>
          <w:rFonts w:ascii="Arial" w:hAnsi="Arial" w:cs="Arial"/>
          <w:sz w:val="24"/>
          <w:szCs w:val="24"/>
        </w:rPr>
        <w:t xml:space="preserve">6.9% of the population of Gloucestershire is ethnically diverse. </w:t>
      </w:r>
    </w:p>
    <w:p w14:paraId="5792A559" w14:textId="3A6381F9" w:rsidR="009E6DA0" w:rsidRPr="009E6DA0" w:rsidRDefault="00A15718" w:rsidP="009E6DA0">
      <w:pPr>
        <w:pStyle w:val="ListParagraph"/>
        <w:numPr>
          <w:ilvl w:val="1"/>
          <w:numId w:val="8"/>
        </w:numPr>
        <w:spacing w:before="360" w:after="120" w:line="276" w:lineRule="auto"/>
        <w:jc w:val="both"/>
        <w:rPr>
          <w:rFonts w:ascii="Arial" w:hAnsi="Arial" w:cs="Arial"/>
          <w:sz w:val="24"/>
          <w:szCs w:val="24"/>
        </w:rPr>
      </w:pPr>
      <w:r w:rsidRPr="00A15718">
        <w:rPr>
          <w:rFonts w:ascii="Arial" w:hAnsi="Arial" w:cs="Arial"/>
          <w:sz w:val="24"/>
          <w:szCs w:val="24"/>
        </w:rPr>
        <w:t xml:space="preserve">16.8% of the population of Gloucestershire is Disabled under the Equality Act.  </w:t>
      </w:r>
    </w:p>
    <w:p w14:paraId="7A865050" w14:textId="77777777" w:rsidR="009E6DA0" w:rsidRPr="009E6DA0" w:rsidRDefault="009E6DA0" w:rsidP="009E6DA0">
      <w:pPr>
        <w:spacing w:before="360" w:after="120" w:line="276" w:lineRule="auto"/>
        <w:jc w:val="both"/>
        <w:rPr>
          <w:rFonts w:ascii="Arial" w:hAnsi="Arial" w:cs="Arial"/>
          <w:sz w:val="24"/>
          <w:szCs w:val="24"/>
        </w:rPr>
      </w:pPr>
    </w:p>
    <w:p w14:paraId="64D0A2FD" w14:textId="618572D1" w:rsidR="00A15718" w:rsidRPr="009E6DA0" w:rsidRDefault="00A15718" w:rsidP="009E6DA0">
      <w:pPr>
        <w:rPr>
          <w:rFonts w:ascii="Arial" w:hAnsi="Arial" w:cs="Arial"/>
          <w:b/>
          <w:bCs/>
          <w:sz w:val="24"/>
          <w:szCs w:val="24"/>
        </w:rPr>
      </w:pPr>
      <w:r w:rsidRPr="009E6DA0">
        <w:rPr>
          <w:rFonts w:ascii="Arial" w:hAnsi="Arial" w:cs="Arial"/>
          <w:b/>
          <w:bCs/>
          <w:sz w:val="24"/>
          <w:szCs w:val="24"/>
        </w:rPr>
        <w:lastRenderedPageBreak/>
        <w:t>What Are Pay Gaps</w:t>
      </w:r>
    </w:p>
    <w:p w14:paraId="5E264BCD" w14:textId="77777777" w:rsidR="00A15718" w:rsidRPr="00A15718" w:rsidRDefault="00A15718" w:rsidP="00A15718">
      <w:pPr>
        <w:spacing w:after="360" w:line="276" w:lineRule="auto"/>
        <w:jc w:val="both"/>
        <w:rPr>
          <w:rFonts w:ascii="Arial" w:hAnsi="Arial" w:cs="Arial"/>
          <w:sz w:val="24"/>
          <w:szCs w:val="24"/>
        </w:rPr>
      </w:pPr>
      <w:r w:rsidRPr="00A15718">
        <w:rPr>
          <w:rFonts w:ascii="Arial" w:hAnsi="Arial" w:cs="Arial"/>
          <w:sz w:val="24"/>
          <w:szCs w:val="24"/>
        </w:rPr>
        <w:t xml:space="preserve">Pay gaps show the difference in average earnings between different groups of people. This includes gender, ethnicity, and disability. Pay gaps are usually shown as the difference between the mean or median hourly pay of one group compared to another. </w:t>
      </w:r>
    </w:p>
    <w:p w14:paraId="7E36D8F3" w14:textId="77777777" w:rsidR="00A15718" w:rsidRPr="00A15718" w:rsidRDefault="00A15718" w:rsidP="00A15718">
      <w:pPr>
        <w:spacing w:before="360" w:after="360" w:line="276" w:lineRule="auto"/>
        <w:jc w:val="both"/>
        <w:rPr>
          <w:rFonts w:ascii="Arial" w:hAnsi="Arial" w:cs="Arial"/>
          <w:sz w:val="24"/>
          <w:szCs w:val="24"/>
        </w:rPr>
      </w:pPr>
      <w:r w:rsidRPr="00A15718">
        <w:rPr>
          <w:rFonts w:ascii="Arial" w:hAnsi="Arial" w:cs="Arial"/>
          <w:sz w:val="24"/>
          <w:szCs w:val="24"/>
        </w:rPr>
        <w:t>The mean hourly pay gap shows the average difference in pay between one group and another, for example men and women. It is calculated by adding up everyone’s hourly pay within each group and dividing by the number of people. The gap shows how much more or less, on average, men are paid compared to women across the organisation.</w:t>
      </w:r>
    </w:p>
    <w:p w14:paraId="192DEE8C" w14:textId="77777777" w:rsidR="00A15718" w:rsidRPr="00A15718" w:rsidRDefault="00A15718" w:rsidP="00A15718">
      <w:pPr>
        <w:spacing w:before="360" w:after="360" w:line="276" w:lineRule="auto"/>
        <w:jc w:val="both"/>
        <w:rPr>
          <w:rFonts w:ascii="Arial" w:hAnsi="Arial" w:cs="Arial"/>
          <w:sz w:val="24"/>
          <w:szCs w:val="24"/>
        </w:rPr>
      </w:pPr>
      <w:r w:rsidRPr="00A15718">
        <w:rPr>
          <w:rFonts w:ascii="Arial" w:hAnsi="Arial" w:cs="Arial"/>
          <w:sz w:val="24"/>
          <w:szCs w:val="24"/>
        </w:rPr>
        <w:t>The median hourly pay gap compares the middle</w:t>
      </w:r>
      <w:r w:rsidRPr="00A15718">
        <w:rPr>
          <w:rFonts w:ascii="Arial" w:hAnsi="Arial" w:cs="Arial"/>
          <w:sz w:val="24"/>
          <w:szCs w:val="24"/>
        </w:rPr>
        <w:noBreakHyphen/>
        <w:t>earning person in one group and the middle</w:t>
      </w:r>
      <w:r w:rsidRPr="00A15718">
        <w:rPr>
          <w:rFonts w:ascii="Arial" w:hAnsi="Arial" w:cs="Arial"/>
          <w:sz w:val="24"/>
          <w:szCs w:val="24"/>
        </w:rPr>
        <w:noBreakHyphen/>
        <w:t>earning person in another group in the organisation, for example disabled and non-disabled. If you lined up all staff that declare disabilities hourly pay from lowest to highest and did the same for staff that declare no disability, the median is the hourly pay rate in the middle of each line. The gap shows the difference between these two middle values and gives a good indication of typical pay differences between two groups.</w:t>
      </w:r>
    </w:p>
    <w:p w14:paraId="12252589" w14:textId="77777777" w:rsidR="00A15718" w:rsidRPr="00A15718" w:rsidRDefault="00A15718" w:rsidP="00A15718">
      <w:pPr>
        <w:spacing w:before="360" w:after="120" w:line="276" w:lineRule="auto"/>
        <w:jc w:val="both"/>
        <w:rPr>
          <w:rFonts w:ascii="Arial" w:hAnsi="Arial" w:cs="Arial"/>
          <w:sz w:val="24"/>
          <w:szCs w:val="24"/>
        </w:rPr>
      </w:pPr>
      <w:r w:rsidRPr="00A15718">
        <w:rPr>
          <w:rFonts w:ascii="Arial" w:hAnsi="Arial" w:cs="Arial"/>
          <w:sz w:val="24"/>
          <w:szCs w:val="24"/>
        </w:rPr>
        <w:t>Pay gap reporting helps organisations understand how different groups are represented across roles and pay levels. It also shows how well the organisation is supporting fair progression and equal access to opportunities.</w:t>
      </w:r>
    </w:p>
    <w:p w14:paraId="110079D1"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What Is the Difference Between Pay Gaps and Equal Pay</w:t>
      </w:r>
    </w:p>
    <w:p w14:paraId="5A4E0B69" w14:textId="77777777" w:rsidR="00A15718" w:rsidRPr="00A15718" w:rsidRDefault="00A15718" w:rsidP="00A15718">
      <w:pPr>
        <w:spacing w:after="200" w:line="276" w:lineRule="auto"/>
        <w:jc w:val="both"/>
        <w:rPr>
          <w:rFonts w:ascii="Arial" w:hAnsi="Arial" w:cs="Arial"/>
          <w:sz w:val="24"/>
          <w:szCs w:val="24"/>
        </w:rPr>
      </w:pPr>
      <w:r w:rsidRPr="00A15718">
        <w:rPr>
          <w:rFonts w:ascii="Arial" w:hAnsi="Arial" w:cs="Arial"/>
          <w:sz w:val="24"/>
          <w:szCs w:val="24"/>
        </w:rPr>
        <w:t>Pay gaps are not the same as equal pay. Equal pay is a legal requirement. It means people must be paid the same for the same work, similar work, or work of equal value. It is unlawful to pay someone differently because of their gender, ethnicity, disability, or any other protected characteristic.</w:t>
      </w:r>
    </w:p>
    <w:p w14:paraId="7F1895BB" w14:textId="77777777" w:rsidR="00A15718" w:rsidRPr="00A15718" w:rsidRDefault="00A15718" w:rsidP="00A15718">
      <w:pPr>
        <w:spacing w:before="360" w:after="120" w:line="276" w:lineRule="auto"/>
        <w:jc w:val="both"/>
        <w:rPr>
          <w:rFonts w:ascii="Arial" w:hAnsi="Arial" w:cs="Arial"/>
          <w:sz w:val="24"/>
          <w:szCs w:val="24"/>
        </w:rPr>
      </w:pPr>
      <w:r w:rsidRPr="00A15718">
        <w:rPr>
          <w:rFonts w:ascii="Arial" w:hAnsi="Arial" w:cs="Arial"/>
          <w:sz w:val="24"/>
          <w:szCs w:val="24"/>
        </w:rPr>
        <w:t>Pay gaps, however, look at the average pay of whole groups across the organisation. A pay gap can highlight patterns in recruitment, progression, working hours, or representation at senior levels. While a pay gap may sometimes point to unfair practices, this is not always the case. It often reflects wider structural issues that need attention and improvement.</w:t>
      </w:r>
    </w:p>
    <w:p w14:paraId="72CB553C"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What Pay Elements are included?</w:t>
      </w:r>
    </w:p>
    <w:p w14:paraId="7E7F1FC2" w14:textId="7D91D9E7" w:rsidR="00A15718" w:rsidRPr="00A15718" w:rsidRDefault="00A15718" w:rsidP="00A15718">
      <w:pPr>
        <w:rPr>
          <w:rFonts w:ascii="Arial" w:hAnsi="Arial" w:cs="Arial"/>
          <w:sz w:val="24"/>
          <w:szCs w:val="24"/>
        </w:rPr>
      </w:pPr>
      <w:r w:rsidRPr="00A15718">
        <w:rPr>
          <w:rFonts w:ascii="Arial" w:hAnsi="Arial" w:cs="Arial"/>
          <w:sz w:val="24"/>
          <w:szCs w:val="24"/>
        </w:rPr>
        <w:t>The statutory calculations have been carried out using the standard national Electronic Staff Record (ESR). In accordance with NHS Employers guidance, Clinical Excellence Awards and the methodology for awarding them have been classified as bonuses. Pay includes basic salary, fully paid leave (such as annual leave, sick leave, maternity, paternity, adoption, or parental leave), Bonus pay and shift pay. Most staff except medical staff and very senior managers were on the Agenda for Change pay scales.</w:t>
      </w:r>
    </w:p>
    <w:p w14:paraId="3F04F70D" w14:textId="77777777" w:rsidR="00A15718" w:rsidRPr="009E6DA0" w:rsidRDefault="00A15718" w:rsidP="009E6DA0">
      <w:pPr>
        <w:rPr>
          <w:rFonts w:ascii="Arial" w:hAnsi="Arial" w:cs="Arial"/>
          <w:b/>
          <w:bCs/>
          <w:sz w:val="24"/>
          <w:szCs w:val="24"/>
          <w:u w:val="single"/>
        </w:rPr>
      </w:pPr>
      <w:r w:rsidRPr="009E6DA0">
        <w:rPr>
          <w:rFonts w:ascii="Arial" w:hAnsi="Arial" w:cs="Arial"/>
          <w:b/>
          <w:bCs/>
          <w:sz w:val="24"/>
          <w:szCs w:val="24"/>
          <w:u w:val="single"/>
        </w:rPr>
        <w:lastRenderedPageBreak/>
        <w:t>Gloucestershire Hospitals Gender Pay Gap 2025</w:t>
      </w:r>
    </w:p>
    <w:p w14:paraId="3C8671AF" w14:textId="77777777" w:rsidR="00A15718" w:rsidRPr="009E6DA0" w:rsidRDefault="00A15718" w:rsidP="009E6DA0">
      <w:pPr>
        <w:rPr>
          <w:rFonts w:ascii="Arial" w:hAnsi="Arial" w:cs="Arial"/>
          <w:b/>
          <w:bCs/>
        </w:rPr>
      </w:pPr>
      <w:r w:rsidRPr="009E6DA0">
        <w:rPr>
          <w:rFonts w:ascii="Arial" w:hAnsi="Arial" w:cs="Arial"/>
          <w:b/>
          <w:bCs/>
          <w:sz w:val="24"/>
          <w:szCs w:val="24"/>
        </w:rPr>
        <w:t>Key findings from March 2025 are as follows:</w:t>
      </w:r>
    </w:p>
    <w:p w14:paraId="0CC416C0" w14:textId="77777777" w:rsidR="00A15718" w:rsidRPr="00A15718" w:rsidRDefault="00A15718" w:rsidP="00A15718">
      <w:pPr>
        <w:pStyle w:val="ListParagraph"/>
        <w:numPr>
          <w:ilvl w:val="0"/>
          <w:numId w:val="6"/>
        </w:numPr>
        <w:spacing w:after="360" w:line="276" w:lineRule="auto"/>
        <w:jc w:val="both"/>
        <w:rPr>
          <w:rFonts w:ascii="Arial" w:hAnsi="Arial" w:cs="Arial"/>
          <w:vanish/>
          <w:sz w:val="24"/>
          <w:szCs w:val="24"/>
        </w:rPr>
      </w:pPr>
    </w:p>
    <w:p w14:paraId="59A984DD" w14:textId="77777777" w:rsidR="00A15718" w:rsidRPr="00A15718" w:rsidRDefault="00A15718" w:rsidP="00A15718">
      <w:pPr>
        <w:pStyle w:val="ListParagraph"/>
        <w:numPr>
          <w:ilvl w:val="1"/>
          <w:numId w:val="9"/>
        </w:numPr>
        <w:spacing w:after="360" w:line="276" w:lineRule="auto"/>
        <w:jc w:val="both"/>
        <w:rPr>
          <w:rFonts w:ascii="Arial" w:hAnsi="Arial" w:cs="Arial"/>
          <w:sz w:val="24"/>
          <w:szCs w:val="24"/>
        </w:rPr>
      </w:pPr>
      <w:r w:rsidRPr="00A15718">
        <w:rPr>
          <w:rFonts w:ascii="Arial" w:hAnsi="Arial" w:cs="Arial"/>
          <w:sz w:val="24"/>
          <w:szCs w:val="24"/>
        </w:rPr>
        <w:t xml:space="preserve">The Mean Gender Pay Gap is 26.5% (£7.79) in favour of men, reflecting a 3.2% increase from 23.3% in 2024. </w:t>
      </w:r>
    </w:p>
    <w:p w14:paraId="575AE634" w14:textId="77777777" w:rsidR="00A15718" w:rsidRPr="00A15718" w:rsidRDefault="00A15718" w:rsidP="00A15718">
      <w:pPr>
        <w:pStyle w:val="ListParagraph"/>
        <w:numPr>
          <w:ilvl w:val="1"/>
          <w:numId w:val="9"/>
        </w:numPr>
        <w:spacing w:after="360" w:line="276" w:lineRule="auto"/>
        <w:jc w:val="both"/>
        <w:rPr>
          <w:rFonts w:ascii="Arial" w:hAnsi="Arial" w:cs="Arial"/>
          <w:sz w:val="24"/>
          <w:szCs w:val="24"/>
        </w:rPr>
      </w:pPr>
      <w:r w:rsidRPr="00A15718">
        <w:rPr>
          <w:rFonts w:ascii="Arial" w:hAnsi="Arial" w:cs="Arial"/>
          <w:sz w:val="24"/>
          <w:szCs w:val="24"/>
        </w:rPr>
        <w:t xml:space="preserve">The Median Gender Pay Gap is 17.8% (£4.20) in favour of men, reflecting a 0.6% increase from 17.2% in 2024. </w:t>
      </w:r>
    </w:p>
    <w:p w14:paraId="553E4383" w14:textId="77777777" w:rsidR="00A15718" w:rsidRPr="00A15718" w:rsidRDefault="00A15718" w:rsidP="00A15718">
      <w:pPr>
        <w:pStyle w:val="ListParagraph"/>
        <w:numPr>
          <w:ilvl w:val="1"/>
          <w:numId w:val="9"/>
        </w:numPr>
        <w:spacing w:after="360" w:line="276" w:lineRule="auto"/>
        <w:jc w:val="both"/>
        <w:rPr>
          <w:rFonts w:ascii="Arial" w:hAnsi="Arial" w:cs="Arial"/>
          <w:sz w:val="24"/>
          <w:szCs w:val="24"/>
        </w:rPr>
      </w:pPr>
      <w:r w:rsidRPr="00A15718">
        <w:rPr>
          <w:rFonts w:ascii="Arial" w:hAnsi="Arial" w:cs="Arial"/>
          <w:sz w:val="24"/>
          <w:szCs w:val="24"/>
        </w:rPr>
        <w:t>Excluding Medical and Dental staff, and Clinical Excellence Awards (CEAs), the pay gap shifts significantly.</w:t>
      </w:r>
    </w:p>
    <w:p w14:paraId="50B0E4A3" w14:textId="77777777" w:rsidR="00A15718" w:rsidRPr="00A15718" w:rsidRDefault="00A15718" w:rsidP="00A15718">
      <w:pPr>
        <w:pStyle w:val="ListParagraph"/>
        <w:numPr>
          <w:ilvl w:val="1"/>
          <w:numId w:val="10"/>
        </w:numPr>
        <w:spacing w:after="360" w:line="276" w:lineRule="auto"/>
        <w:jc w:val="both"/>
        <w:rPr>
          <w:rFonts w:ascii="Arial" w:hAnsi="Arial" w:cs="Arial"/>
          <w:sz w:val="24"/>
          <w:szCs w:val="24"/>
        </w:rPr>
      </w:pPr>
      <w:r w:rsidRPr="00A15718">
        <w:rPr>
          <w:rFonts w:ascii="Arial" w:hAnsi="Arial" w:cs="Arial"/>
          <w:sz w:val="24"/>
          <w:szCs w:val="24"/>
        </w:rPr>
        <w:t>The Mean Gender Pay Gap reduces to 3.6% (£0.71) in favour of men.</w:t>
      </w:r>
    </w:p>
    <w:p w14:paraId="2D401835" w14:textId="77777777" w:rsidR="00A15718" w:rsidRPr="00A15718" w:rsidRDefault="00A15718" w:rsidP="00A15718">
      <w:pPr>
        <w:pStyle w:val="ListParagraph"/>
        <w:numPr>
          <w:ilvl w:val="1"/>
          <w:numId w:val="10"/>
        </w:numPr>
        <w:spacing w:after="360" w:line="276" w:lineRule="auto"/>
        <w:jc w:val="both"/>
        <w:rPr>
          <w:rFonts w:ascii="Arial" w:hAnsi="Arial" w:cs="Arial"/>
          <w:sz w:val="24"/>
          <w:szCs w:val="24"/>
        </w:rPr>
      </w:pPr>
      <w:r w:rsidRPr="00A15718">
        <w:rPr>
          <w:rFonts w:ascii="Arial" w:hAnsi="Arial" w:cs="Arial"/>
          <w:sz w:val="24"/>
          <w:szCs w:val="24"/>
        </w:rPr>
        <w:t>The Median Gender Pay Gap reduces to 5.0% (£0.88) in favour of women.</w:t>
      </w:r>
    </w:p>
    <w:tbl>
      <w:tblPr>
        <w:tblpPr w:leftFromText="180" w:rightFromText="180" w:vertAnchor="text" w:horzAnchor="margin" w:tblpXSpec="center" w:tblpY="-20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10"/>
        <w:gridCol w:w="1694"/>
        <w:gridCol w:w="2004"/>
        <w:gridCol w:w="2003"/>
        <w:gridCol w:w="2005"/>
      </w:tblGrid>
      <w:tr w:rsidR="00A15718" w:rsidRPr="00A15718" w14:paraId="73C58931" w14:textId="77777777" w:rsidTr="0081318F">
        <w:trPr>
          <w:trHeight w:val="286"/>
        </w:trPr>
        <w:tc>
          <w:tcPr>
            <w:tcW w:w="685" w:type="pct"/>
            <w:shd w:val="clear" w:color="auto" w:fill="0070C0"/>
            <w:vAlign w:val="center"/>
            <w:hideMark/>
          </w:tcPr>
          <w:p w14:paraId="0C67D165"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Gender Grouping Summary</w:t>
            </w:r>
          </w:p>
          <w:p w14:paraId="05D8C545" w14:textId="77777777" w:rsidR="00A15718" w:rsidRPr="00A15718" w:rsidRDefault="00A15718" w:rsidP="0081318F">
            <w:pPr>
              <w:spacing w:after="0" w:line="240" w:lineRule="auto"/>
              <w:rPr>
                <w:rFonts w:ascii="Arial" w:eastAsia="Times New Roman" w:hAnsi="Arial" w:cs="Arial"/>
                <w:b/>
                <w:bCs/>
                <w:color w:val="FFFFFF"/>
                <w:sz w:val="24"/>
                <w:szCs w:val="24"/>
              </w:rPr>
            </w:pPr>
          </w:p>
        </w:tc>
        <w:tc>
          <w:tcPr>
            <w:tcW w:w="950" w:type="pct"/>
            <w:shd w:val="clear" w:color="auto" w:fill="0070C0"/>
            <w:vAlign w:val="center"/>
            <w:hideMark/>
          </w:tcPr>
          <w:p w14:paraId="681496AB"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Mean Hourly Rate 2025</w:t>
            </w:r>
          </w:p>
        </w:tc>
        <w:tc>
          <w:tcPr>
            <w:tcW w:w="1122" w:type="pct"/>
            <w:shd w:val="clear" w:color="auto" w:fill="0070C0"/>
            <w:vAlign w:val="center"/>
          </w:tcPr>
          <w:p w14:paraId="78E51D92"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Change since 2024</w:t>
            </w:r>
          </w:p>
        </w:tc>
        <w:tc>
          <w:tcPr>
            <w:tcW w:w="1121" w:type="pct"/>
            <w:shd w:val="clear" w:color="auto" w:fill="0070C0"/>
            <w:vAlign w:val="center"/>
            <w:hideMark/>
          </w:tcPr>
          <w:p w14:paraId="08AC691F"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Median Hourly Rate 2025</w:t>
            </w:r>
          </w:p>
        </w:tc>
        <w:tc>
          <w:tcPr>
            <w:tcW w:w="1122" w:type="pct"/>
            <w:shd w:val="clear" w:color="auto" w:fill="0070C0"/>
            <w:vAlign w:val="center"/>
          </w:tcPr>
          <w:p w14:paraId="59498022"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Change since 2024</w:t>
            </w:r>
          </w:p>
        </w:tc>
      </w:tr>
      <w:tr w:rsidR="00A15718" w:rsidRPr="00A15718" w14:paraId="6A279618" w14:textId="77777777" w:rsidTr="0081318F">
        <w:trPr>
          <w:trHeight w:val="286"/>
        </w:trPr>
        <w:tc>
          <w:tcPr>
            <w:tcW w:w="685" w:type="pct"/>
            <w:vAlign w:val="center"/>
            <w:hideMark/>
          </w:tcPr>
          <w:p w14:paraId="7C2D0BC4" w14:textId="77777777" w:rsidR="00A15718" w:rsidRPr="00A15718" w:rsidRDefault="00A15718" w:rsidP="0081318F">
            <w:pPr>
              <w:spacing w:after="0" w:line="240" w:lineRule="auto"/>
              <w:rPr>
                <w:rFonts w:ascii="Arial" w:hAnsi="Arial" w:cs="Arial"/>
                <w:sz w:val="24"/>
                <w:szCs w:val="24"/>
              </w:rPr>
            </w:pPr>
            <w:r w:rsidRPr="00A15718">
              <w:rPr>
                <w:rFonts w:ascii="Arial" w:hAnsi="Arial" w:cs="Arial"/>
                <w:sz w:val="24"/>
                <w:szCs w:val="24"/>
              </w:rPr>
              <w:t>Women</w:t>
            </w:r>
          </w:p>
        </w:tc>
        <w:tc>
          <w:tcPr>
            <w:tcW w:w="950" w:type="pct"/>
            <w:shd w:val="clear" w:color="000000" w:fill="FFFFFF"/>
            <w:vAlign w:val="center"/>
          </w:tcPr>
          <w:p w14:paraId="67295ED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£21.58</w:t>
            </w:r>
          </w:p>
        </w:tc>
        <w:tc>
          <w:tcPr>
            <w:tcW w:w="1122" w:type="pct"/>
            <w:shd w:val="clear" w:color="000000" w:fill="FFFFFF"/>
            <w:vAlign w:val="center"/>
          </w:tcPr>
          <w:p w14:paraId="3928CCC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£1.64 since 2024</w:t>
            </w:r>
          </w:p>
        </w:tc>
        <w:tc>
          <w:tcPr>
            <w:tcW w:w="1121" w:type="pct"/>
            <w:shd w:val="clear" w:color="000000" w:fill="FFFFFF"/>
            <w:vAlign w:val="center"/>
          </w:tcPr>
          <w:p w14:paraId="6D43CFB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£19.40</w:t>
            </w:r>
          </w:p>
        </w:tc>
        <w:tc>
          <w:tcPr>
            <w:tcW w:w="1122" w:type="pct"/>
            <w:shd w:val="clear" w:color="000000" w:fill="FFFFFF"/>
            <w:vAlign w:val="center"/>
          </w:tcPr>
          <w:p w14:paraId="5D859EBD"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£1.36 since 2024</w:t>
            </w:r>
          </w:p>
        </w:tc>
      </w:tr>
      <w:tr w:rsidR="00A15718" w:rsidRPr="00A15718" w14:paraId="611C5E28" w14:textId="77777777" w:rsidTr="0081318F">
        <w:trPr>
          <w:trHeight w:val="286"/>
        </w:trPr>
        <w:tc>
          <w:tcPr>
            <w:tcW w:w="685" w:type="pct"/>
            <w:vAlign w:val="center"/>
            <w:hideMark/>
          </w:tcPr>
          <w:p w14:paraId="0BB603F8" w14:textId="77777777" w:rsidR="00A15718" w:rsidRPr="00A15718" w:rsidRDefault="00A15718" w:rsidP="0081318F">
            <w:pPr>
              <w:spacing w:after="0" w:line="240" w:lineRule="auto"/>
              <w:rPr>
                <w:rFonts w:ascii="Arial" w:hAnsi="Arial" w:cs="Arial"/>
                <w:sz w:val="24"/>
                <w:szCs w:val="24"/>
              </w:rPr>
            </w:pPr>
            <w:r w:rsidRPr="00A15718">
              <w:rPr>
                <w:rFonts w:ascii="Arial" w:hAnsi="Arial" w:cs="Arial"/>
                <w:sz w:val="24"/>
                <w:szCs w:val="24"/>
              </w:rPr>
              <w:t>Men</w:t>
            </w:r>
          </w:p>
        </w:tc>
        <w:tc>
          <w:tcPr>
            <w:tcW w:w="950" w:type="pct"/>
            <w:shd w:val="clear" w:color="000000" w:fill="FFFFFF"/>
            <w:vAlign w:val="center"/>
          </w:tcPr>
          <w:p w14:paraId="60C2EE20"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£29.38</w:t>
            </w:r>
          </w:p>
        </w:tc>
        <w:tc>
          <w:tcPr>
            <w:tcW w:w="1122" w:type="pct"/>
            <w:shd w:val="clear" w:color="000000" w:fill="FFFFFF"/>
            <w:vAlign w:val="center"/>
          </w:tcPr>
          <w:p w14:paraId="313621D6"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£3.39 since 2024</w:t>
            </w:r>
          </w:p>
        </w:tc>
        <w:tc>
          <w:tcPr>
            <w:tcW w:w="1121" w:type="pct"/>
            <w:shd w:val="clear" w:color="000000" w:fill="FFFFFF"/>
            <w:vAlign w:val="center"/>
          </w:tcPr>
          <w:p w14:paraId="04BCCAE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£23.60</w:t>
            </w:r>
          </w:p>
        </w:tc>
        <w:tc>
          <w:tcPr>
            <w:tcW w:w="1122" w:type="pct"/>
            <w:shd w:val="clear" w:color="000000" w:fill="FFFFFF"/>
            <w:vAlign w:val="center"/>
          </w:tcPr>
          <w:p w14:paraId="59C12103"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£1.81 since 2024</w:t>
            </w:r>
          </w:p>
        </w:tc>
      </w:tr>
    </w:tbl>
    <w:p w14:paraId="252741FD" w14:textId="77777777" w:rsidR="00A15718" w:rsidRPr="00A15718" w:rsidRDefault="00A15718" w:rsidP="00A15718">
      <w:pPr>
        <w:rPr>
          <w:rFonts w:ascii="Arial" w:hAnsi="Arial" w:cs="Arial"/>
          <w:sz w:val="24"/>
          <w:szCs w:val="24"/>
        </w:rPr>
      </w:pPr>
    </w:p>
    <w:p w14:paraId="76E43C0D" w14:textId="77777777" w:rsidR="00A15718" w:rsidRPr="00A15718" w:rsidRDefault="00A15718" w:rsidP="00A15718">
      <w:pPr>
        <w:spacing w:after="360" w:line="276" w:lineRule="auto"/>
        <w:jc w:val="both"/>
        <w:rPr>
          <w:rFonts w:ascii="Arial" w:hAnsi="Arial" w:cs="Arial"/>
          <w:sz w:val="24"/>
          <w:szCs w:val="24"/>
        </w:rPr>
      </w:pPr>
      <w:r w:rsidRPr="00A15718">
        <w:rPr>
          <w:rFonts w:ascii="Arial" w:hAnsi="Arial" w:cs="Arial"/>
          <w:sz w:val="24"/>
          <w:szCs w:val="24"/>
        </w:rPr>
        <w:t xml:space="preserve">This highlights the impact of bonus payments within the Medical and Dental workforce, where high-value Clinical Excellence Awards (CEAs) continue to be a major factor. </w:t>
      </w:r>
    </w:p>
    <w:p w14:paraId="2CE0A6E0" w14:textId="77777777" w:rsidR="00A15718" w:rsidRPr="00A15718" w:rsidRDefault="00A15718" w:rsidP="00A15718">
      <w:pPr>
        <w:spacing w:after="360" w:line="276" w:lineRule="auto"/>
        <w:jc w:val="both"/>
        <w:rPr>
          <w:rFonts w:ascii="Arial" w:hAnsi="Arial" w:cs="Arial"/>
          <w:sz w:val="24"/>
          <w:szCs w:val="24"/>
        </w:rPr>
      </w:pPr>
      <w:r w:rsidRPr="00A15718">
        <w:rPr>
          <w:rFonts w:ascii="Arial" w:hAnsi="Arial" w:cs="Arial"/>
          <w:sz w:val="24"/>
          <w:szCs w:val="24"/>
        </w:rPr>
        <w:t xml:space="preserve">Local CEAs were discontinued in 2020, and the associated budget was equally shared across substantive consultants, regardless of their working hours. Only a small number – fewer than 10 – now receive national CEAs, but their value continues to influence the overall pay gap. </w:t>
      </w:r>
    </w:p>
    <w:p w14:paraId="774866EA" w14:textId="416EA56F" w:rsidR="00A15718" w:rsidRPr="00A15718" w:rsidRDefault="00A15718" w:rsidP="00A15718">
      <w:pPr>
        <w:rPr>
          <w:rFonts w:ascii="Arial" w:hAnsi="Arial" w:cs="Arial"/>
          <w:sz w:val="24"/>
          <w:szCs w:val="24"/>
        </w:rPr>
      </w:pPr>
      <w:r w:rsidRPr="00A15718">
        <w:rPr>
          <w:rFonts w:ascii="Arial" w:hAnsi="Arial" w:cs="Arial"/>
          <w:sz w:val="24"/>
          <w:szCs w:val="24"/>
        </w:rPr>
        <w:t>Nationally, the Gender Pay Gap has been decreasing over the past decade and stood at 6.9% in April 2025.</w:t>
      </w:r>
    </w:p>
    <w:p w14:paraId="48DF3FA5"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Trust’s Gender Pay Gap summary:</w:t>
      </w:r>
    </w:p>
    <w:p w14:paraId="37998398" w14:textId="77777777" w:rsidR="00A15718" w:rsidRPr="00A15718" w:rsidRDefault="00A15718" w:rsidP="00A15718">
      <w:pPr>
        <w:pStyle w:val="ListParagraph"/>
        <w:numPr>
          <w:ilvl w:val="1"/>
          <w:numId w:val="11"/>
        </w:numPr>
        <w:spacing w:line="276" w:lineRule="auto"/>
        <w:jc w:val="both"/>
        <w:rPr>
          <w:rFonts w:ascii="Arial" w:hAnsi="Arial" w:cs="Arial"/>
          <w:sz w:val="24"/>
          <w:szCs w:val="24"/>
        </w:rPr>
      </w:pPr>
      <w:r w:rsidRPr="00A15718">
        <w:rPr>
          <w:rFonts w:ascii="Arial" w:hAnsi="Arial" w:cs="Arial"/>
          <w:sz w:val="24"/>
          <w:szCs w:val="24"/>
        </w:rPr>
        <w:t>The Trust’s Mean Gender Pay Gap is 26.5%.</w:t>
      </w:r>
    </w:p>
    <w:p w14:paraId="175A3237" w14:textId="77777777" w:rsidR="00A15718" w:rsidRPr="00A15718" w:rsidRDefault="00A15718" w:rsidP="00A15718">
      <w:pPr>
        <w:pStyle w:val="ListParagraph"/>
        <w:numPr>
          <w:ilvl w:val="1"/>
          <w:numId w:val="11"/>
        </w:numPr>
        <w:spacing w:line="276" w:lineRule="auto"/>
        <w:jc w:val="both"/>
        <w:rPr>
          <w:rFonts w:ascii="Arial" w:hAnsi="Arial" w:cs="Arial"/>
          <w:sz w:val="24"/>
          <w:szCs w:val="24"/>
        </w:rPr>
      </w:pPr>
      <w:r w:rsidRPr="00A15718">
        <w:rPr>
          <w:rFonts w:ascii="Arial" w:hAnsi="Arial" w:cs="Arial"/>
          <w:sz w:val="24"/>
          <w:szCs w:val="24"/>
        </w:rPr>
        <w:t>The Trust’s Median Gender Pay Gap is 17.8%.</w:t>
      </w:r>
    </w:p>
    <w:p w14:paraId="7A453335" w14:textId="77777777" w:rsidR="00A15718" w:rsidRPr="00A15718" w:rsidRDefault="00A15718" w:rsidP="00A15718">
      <w:pPr>
        <w:pStyle w:val="ListParagraph"/>
        <w:numPr>
          <w:ilvl w:val="1"/>
          <w:numId w:val="11"/>
        </w:numPr>
        <w:spacing w:line="276" w:lineRule="auto"/>
        <w:jc w:val="both"/>
        <w:rPr>
          <w:rFonts w:ascii="Arial" w:hAnsi="Arial" w:cs="Arial"/>
          <w:sz w:val="24"/>
          <w:szCs w:val="24"/>
        </w:rPr>
      </w:pPr>
      <w:r w:rsidRPr="00A15718">
        <w:rPr>
          <w:rFonts w:ascii="Arial" w:hAnsi="Arial" w:cs="Arial"/>
          <w:sz w:val="24"/>
          <w:szCs w:val="24"/>
        </w:rPr>
        <w:t>The Trust’s Mean Bonus Gender Pay Gap is 43.5%.</w:t>
      </w:r>
    </w:p>
    <w:p w14:paraId="4BCA602E" w14:textId="77777777" w:rsidR="00A15718" w:rsidRPr="00A15718" w:rsidRDefault="00A15718" w:rsidP="00A15718">
      <w:pPr>
        <w:pStyle w:val="ListParagraph"/>
        <w:numPr>
          <w:ilvl w:val="1"/>
          <w:numId w:val="11"/>
        </w:numPr>
        <w:spacing w:line="276" w:lineRule="auto"/>
        <w:jc w:val="both"/>
        <w:rPr>
          <w:rFonts w:ascii="Arial" w:hAnsi="Arial" w:cs="Arial"/>
          <w:sz w:val="24"/>
          <w:szCs w:val="24"/>
        </w:rPr>
      </w:pPr>
      <w:r w:rsidRPr="00A15718">
        <w:rPr>
          <w:rFonts w:ascii="Arial" w:hAnsi="Arial" w:cs="Arial"/>
          <w:sz w:val="24"/>
          <w:szCs w:val="24"/>
        </w:rPr>
        <w:t>The Trust’s Median Bonus Gender Pay Gap is 66.7%.</w:t>
      </w:r>
    </w:p>
    <w:p w14:paraId="2DD89C27" w14:textId="77777777" w:rsidR="00A15718" w:rsidRPr="00A15718" w:rsidRDefault="00A15718" w:rsidP="00A15718">
      <w:pPr>
        <w:pStyle w:val="ListParagraph"/>
        <w:numPr>
          <w:ilvl w:val="1"/>
          <w:numId w:val="11"/>
        </w:numPr>
        <w:spacing w:after="120" w:line="276" w:lineRule="auto"/>
        <w:ind w:left="714" w:hanging="357"/>
        <w:contextualSpacing w:val="0"/>
        <w:jc w:val="both"/>
        <w:rPr>
          <w:rFonts w:ascii="Arial" w:hAnsi="Arial" w:cs="Arial"/>
          <w:sz w:val="24"/>
          <w:szCs w:val="24"/>
        </w:rPr>
      </w:pPr>
      <w:r w:rsidRPr="00A15718">
        <w:rPr>
          <w:rFonts w:ascii="Arial" w:hAnsi="Arial" w:cs="Arial"/>
          <w:sz w:val="24"/>
          <w:szCs w:val="24"/>
        </w:rPr>
        <w:t>The proportion of men receiving a Bonus payment is 67%.</w:t>
      </w:r>
    </w:p>
    <w:p w14:paraId="69EB5D08" w14:textId="77777777" w:rsidR="00A15718" w:rsidRPr="00A15718" w:rsidRDefault="00A15718" w:rsidP="00A15718">
      <w:pPr>
        <w:pStyle w:val="ListParagraph"/>
        <w:numPr>
          <w:ilvl w:val="0"/>
          <w:numId w:val="6"/>
        </w:numPr>
        <w:spacing w:line="276" w:lineRule="auto"/>
        <w:jc w:val="both"/>
        <w:rPr>
          <w:rFonts w:ascii="Arial" w:hAnsi="Arial" w:cs="Arial"/>
          <w:vanish/>
          <w:sz w:val="24"/>
          <w:szCs w:val="24"/>
        </w:rPr>
      </w:pPr>
    </w:p>
    <w:p w14:paraId="055CE615"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The proportion of women receiving a Bonus payment is 33%.</w:t>
      </w:r>
    </w:p>
    <w:p w14:paraId="57F375DD"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The proportion of men and women for all staff in each Quartile (Quartile 1 represents our lowest paid staff and Quartile 4 represents our highest paid staff):</w:t>
      </w:r>
    </w:p>
    <w:p w14:paraId="31FD8F01" w14:textId="77777777" w:rsidR="00A15718" w:rsidRPr="00A15718" w:rsidRDefault="00A15718" w:rsidP="00A15718">
      <w:pPr>
        <w:pStyle w:val="ListParagraph"/>
        <w:numPr>
          <w:ilvl w:val="1"/>
          <w:numId w:val="12"/>
        </w:numPr>
        <w:spacing w:line="276" w:lineRule="auto"/>
        <w:jc w:val="both"/>
        <w:rPr>
          <w:rFonts w:ascii="Arial" w:hAnsi="Arial" w:cs="Arial"/>
          <w:sz w:val="24"/>
          <w:szCs w:val="24"/>
        </w:rPr>
      </w:pPr>
      <w:r w:rsidRPr="00A15718">
        <w:rPr>
          <w:rFonts w:ascii="Arial" w:hAnsi="Arial" w:cs="Arial"/>
          <w:sz w:val="24"/>
          <w:szCs w:val="24"/>
        </w:rPr>
        <w:t>Quartile 1: 82.8% (1924 headcount) women and 17.2% (399 headcount) men</w:t>
      </w:r>
    </w:p>
    <w:p w14:paraId="6763EC88" w14:textId="77777777" w:rsidR="00A15718" w:rsidRPr="00A15718" w:rsidRDefault="00A15718" w:rsidP="00A15718">
      <w:pPr>
        <w:pStyle w:val="ListParagraph"/>
        <w:numPr>
          <w:ilvl w:val="1"/>
          <w:numId w:val="12"/>
        </w:numPr>
        <w:spacing w:line="276" w:lineRule="auto"/>
        <w:jc w:val="both"/>
        <w:rPr>
          <w:rFonts w:ascii="Arial" w:hAnsi="Arial" w:cs="Arial"/>
          <w:sz w:val="24"/>
          <w:szCs w:val="24"/>
        </w:rPr>
      </w:pPr>
      <w:r w:rsidRPr="00A15718">
        <w:rPr>
          <w:rFonts w:ascii="Arial" w:hAnsi="Arial" w:cs="Arial"/>
          <w:sz w:val="24"/>
          <w:szCs w:val="24"/>
        </w:rPr>
        <w:lastRenderedPageBreak/>
        <w:t>Quartile 2: 82.5% (1952 headcount) women and 17.5% (414 headcount) men</w:t>
      </w:r>
    </w:p>
    <w:p w14:paraId="7F760F12" w14:textId="77777777" w:rsidR="00A15718" w:rsidRPr="00A15718" w:rsidRDefault="00A15718" w:rsidP="00A15718">
      <w:pPr>
        <w:pStyle w:val="ListParagraph"/>
        <w:numPr>
          <w:ilvl w:val="1"/>
          <w:numId w:val="12"/>
        </w:numPr>
        <w:spacing w:line="276" w:lineRule="auto"/>
        <w:jc w:val="both"/>
        <w:rPr>
          <w:rFonts w:ascii="Arial" w:hAnsi="Arial" w:cs="Arial"/>
          <w:sz w:val="24"/>
          <w:szCs w:val="24"/>
        </w:rPr>
      </w:pPr>
      <w:r w:rsidRPr="00A15718">
        <w:rPr>
          <w:rFonts w:ascii="Arial" w:hAnsi="Arial" w:cs="Arial"/>
          <w:sz w:val="24"/>
          <w:szCs w:val="24"/>
        </w:rPr>
        <w:t>Quartile 3: 82.2% (1946 headcount) women and 15.8% (364 headcount) men</w:t>
      </w:r>
    </w:p>
    <w:p w14:paraId="6F2D146E" w14:textId="77777777" w:rsidR="00A15718" w:rsidRPr="00A15718" w:rsidRDefault="00A15718" w:rsidP="00A15718">
      <w:pPr>
        <w:pStyle w:val="ListParagraph"/>
        <w:numPr>
          <w:ilvl w:val="1"/>
          <w:numId w:val="12"/>
        </w:numPr>
        <w:spacing w:line="276" w:lineRule="auto"/>
        <w:jc w:val="both"/>
        <w:rPr>
          <w:rFonts w:ascii="Arial" w:hAnsi="Arial" w:cs="Arial"/>
          <w:sz w:val="24"/>
          <w:szCs w:val="24"/>
        </w:rPr>
      </w:pPr>
      <w:r w:rsidRPr="00A15718">
        <w:rPr>
          <w:rFonts w:ascii="Arial" w:hAnsi="Arial" w:cs="Arial"/>
          <w:sz w:val="24"/>
          <w:szCs w:val="24"/>
        </w:rPr>
        <w:t>Quartile 4: 63.1% (1503 headcount) women and 36.9% (880 headcount) men</w:t>
      </w:r>
    </w:p>
    <w:p w14:paraId="7DA16268"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Workforce Overview</w:t>
      </w:r>
    </w:p>
    <w:p w14:paraId="33492A24" w14:textId="77777777" w:rsidR="00A15718" w:rsidRPr="00A15718" w:rsidRDefault="00A15718" w:rsidP="00A15718">
      <w:pPr>
        <w:pStyle w:val="ListParagraph"/>
        <w:numPr>
          <w:ilvl w:val="0"/>
          <w:numId w:val="6"/>
        </w:numPr>
        <w:spacing w:line="276" w:lineRule="auto"/>
        <w:jc w:val="both"/>
        <w:rPr>
          <w:rFonts w:ascii="Arial" w:hAnsi="Arial" w:cs="Arial"/>
          <w:vanish/>
          <w:sz w:val="24"/>
          <w:szCs w:val="24"/>
        </w:rPr>
      </w:pPr>
    </w:p>
    <w:p w14:paraId="18E27262"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Pay data is sourced from the national Electronic Staff Record (ESR). As of this date, GHNHSFT data shows that percentages of women and men remained the same as in 2024, at 78.1% (women) and 21.9% (men). This report fully complies with the Equality Act 2010 regulations, including the GPG Information Regulations 2017.</w:t>
      </w:r>
    </w:p>
    <w:p w14:paraId="10F4CE12" w14:textId="424AE222"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For this report the numbers have all been rounded to 1 decimal place. This may mean that the accumulative figures add up slightly more of less than 100</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99"/>
        <w:gridCol w:w="1457"/>
        <w:gridCol w:w="964"/>
        <w:gridCol w:w="1457"/>
        <w:gridCol w:w="964"/>
        <w:gridCol w:w="2775"/>
      </w:tblGrid>
      <w:tr w:rsidR="00A15718" w:rsidRPr="00A15718" w14:paraId="536A5B4A" w14:textId="77777777" w:rsidTr="0081318F">
        <w:trPr>
          <w:trHeight w:val="20"/>
        </w:trPr>
        <w:tc>
          <w:tcPr>
            <w:tcW w:w="803" w:type="pct"/>
            <w:shd w:val="clear" w:color="auto" w:fill="0070C0"/>
            <w:vAlign w:val="center"/>
          </w:tcPr>
          <w:p w14:paraId="72A182DD" w14:textId="77777777" w:rsidR="00A15718" w:rsidRPr="00A15718" w:rsidRDefault="00A15718" w:rsidP="0081318F">
            <w:pPr>
              <w:rPr>
                <w:rFonts w:ascii="Arial" w:hAnsi="Arial" w:cs="Arial"/>
                <w:b/>
                <w:bCs/>
                <w:color w:val="FFFFFF" w:themeColor="background1"/>
              </w:rPr>
            </w:pPr>
            <w:bookmarkStart w:id="0" w:name="_Hlk138172219"/>
            <w:r w:rsidRPr="00A15718">
              <w:rPr>
                <w:rFonts w:ascii="Arial" w:hAnsi="Arial" w:cs="Arial"/>
                <w:b/>
                <w:bCs/>
                <w:color w:val="FFFFFF" w:themeColor="background1"/>
              </w:rPr>
              <w:t>Workforce Data</w:t>
            </w:r>
          </w:p>
        </w:tc>
        <w:tc>
          <w:tcPr>
            <w:tcW w:w="706" w:type="pct"/>
            <w:shd w:val="clear" w:color="auto" w:fill="0070C0"/>
            <w:vAlign w:val="center"/>
          </w:tcPr>
          <w:p w14:paraId="39265ABC"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2025 Headcount</w:t>
            </w:r>
          </w:p>
        </w:tc>
        <w:tc>
          <w:tcPr>
            <w:tcW w:w="535" w:type="pct"/>
            <w:shd w:val="clear" w:color="auto" w:fill="0070C0"/>
            <w:vAlign w:val="center"/>
          </w:tcPr>
          <w:p w14:paraId="0F73C148"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2025%</w:t>
            </w:r>
          </w:p>
        </w:tc>
        <w:tc>
          <w:tcPr>
            <w:tcW w:w="725" w:type="pct"/>
            <w:shd w:val="clear" w:color="auto" w:fill="0070C0"/>
            <w:vAlign w:val="center"/>
          </w:tcPr>
          <w:p w14:paraId="66CA989B"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2024 Headcount</w:t>
            </w:r>
          </w:p>
        </w:tc>
        <w:tc>
          <w:tcPr>
            <w:tcW w:w="574" w:type="pct"/>
            <w:shd w:val="clear" w:color="auto" w:fill="0070C0"/>
            <w:vAlign w:val="center"/>
          </w:tcPr>
          <w:p w14:paraId="054D6E05"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2024%</w:t>
            </w:r>
          </w:p>
        </w:tc>
        <w:tc>
          <w:tcPr>
            <w:tcW w:w="1657" w:type="pct"/>
            <w:shd w:val="clear" w:color="auto" w:fill="0070C0"/>
            <w:vAlign w:val="center"/>
          </w:tcPr>
          <w:p w14:paraId="06826506"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 Difference</w:t>
            </w:r>
          </w:p>
        </w:tc>
      </w:tr>
      <w:tr w:rsidR="00A15718" w:rsidRPr="00A15718" w14:paraId="524A1A1D" w14:textId="77777777" w:rsidTr="0081318F">
        <w:trPr>
          <w:trHeight w:val="20"/>
        </w:trPr>
        <w:tc>
          <w:tcPr>
            <w:tcW w:w="803" w:type="pct"/>
            <w:shd w:val="clear" w:color="auto" w:fill="A4CDFA"/>
            <w:vAlign w:val="center"/>
          </w:tcPr>
          <w:p w14:paraId="323D03FE" w14:textId="77777777" w:rsidR="00A15718" w:rsidRPr="00A15718" w:rsidRDefault="00A15718" w:rsidP="0081318F">
            <w:pPr>
              <w:rPr>
                <w:rFonts w:ascii="Arial" w:hAnsi="Arial" w:cs="Arial"/>
              </w:rPr>
            </w:pPr>
            <w:r w:rsidRPr="00A15718">
              <w:rPr>
                <w:rFonts w:ascii="Arial" w:hAnsi="Arial" w:cs="Arial"/>
              </w:rPr>
              <w:t>Total Workforce</w:t>
            </w:r>
          </w:p>
        </w:tc>
        <w:tc>
          <w:tcPr>
            <w:tcW w:w="706" w:type="pct"/>
            <w:vAlign w:val="center"/>
          </w:tcPr>
          <w:p w14:paraId="69CF0681" w14:textId="77777777" w:rsidR="00A15718" w:rsidRPr="00A15718" w:rsidRDefault="00A15718" w:rsidP="0081318F">
            <w:pPr>
              <w:rPr>
                <w:rFonts w:ascii="Arial" w:hAnsi="Arial" w:cs="Arial"/>
              </w:rPr>
            </w:pPr>
            <w:r w:rsidRPr="00A15718">
              <w:rPr>
                <w:rFonts w:ascii="Arial" w:hAnsi="Arial" w:cs="Arial"/>
              </w:rPr>
              <w:t>9382</w:t>
            </w:r>
          </w:p>
        </w:tc>
        <w:tc>
          <w:tcPr>
            <w:tcW w:w="535" w:type="pct"/>
            <w:shd w:val="clear" w:color="auto" w:fill="0070C0"/>
            <w:vAlign w:val="center"/>
          </w:tcPr>
          <w:p w14:paraId="46397DE5" w14:textId="77777777" w:rsidR="00A15718" w:rsidRPr="00A15718" w:rsidRDefault="00A15718" w:rsidP="0081318F">
            <w:pPr>
              <w:rPr>
                <w:rFonts w:ascii="Arial" w:hAnsi="Arial" w:cs="Arial"/>
              </w:rPr>
            </w:pPr>
          </w:p>
        </w:tc>
        <w:tc>
          <w:tcPr>
            <w:tcW w:w="725" w:type="pct"/>
            <w:vAlign w:val="center"/>
          </w:tcPr>
          <w:p w14:paraId="269F9DC6" w14:textId="77777777" w:rsidR="00A15718" w:rsidRPr="00A15718" w:rsidRDefault="00A15718" w:rsidP="0081318F">
            <w:pPr>
              <w:rPr>
                <w:rFonts w:ascii="Arial" w:hAnsi="Arial" w:cs="Arial"/>
              </w:rPr>
            </w:pPr>
            <w:r w:rsidRPr="00A15718">
              <w:rPr>
                <w:rFonts w:ascii="Arial" w:eastAsia="Arial" w:hAnsi="Arial" w:cs="Arial"/>
                <w:spacing w:val="2"/>
              </w:rPr>
              <w:t>9192</w:t>
            </w:r>
          </w:p>
        </w:tc>
        <w:tc>
          <w:tcPr>
            <w:tcW w:w="574" w:type="pct"/>
            <w:shd w:val="clear" w:color="auto" w:fill="0070C0"/>
            <w:vAlign w:val="center"/>
          </w:tcPr>
          <w:p w14:paraId="547477C4" w14:textId="77777777" w:rsidR="00A15718" w:rsidRPr="00A15718" w:rsidRDefault="00A15718" w:rsidP="0081318F">
            <w:pPr>
              <w:rPr>
                <w:rFonts w:ascii="Arial" w:hAnsi="Arial" w:cs="Arial"/>
                <w:color w:val="0F9ED5" w:themeColor="accent4"/>
              </w:rPr>
            </w:pPr>
          </w:p>
        </w:tc>
        <w:tc>
          <w:tcPr>
            <w:tcW w:w="1657" w:type="pct"/>
            <w:vAlign w:val="center"/>
          </w:tcPr>
          <w:p w14:paraId="132374F2" w14:textId="77777777" w:rsidR="00A15718" w:rsidRPr="00A15718" w:rsidRDefault="00A15718" w:rsidP="0081318F">
            <w:pPr>
              <w:rPr>
                <w:rFonts w:ascii="Arial" w:hAnsi="Arial" w:cs="Arial"/>
              </w:rPr>
            </w:pPr>
            <w:r w:rsidRPr="00A15718">
              <w:rPr>
                <w:rFonts w:ascii="Arial" w:hAnsi="Arial" w:cs="Arial"/>
              </w:rPr>
              <w:t>Increase of 2.1% compared to 2024</w:t>
            </w:r>
          </w:p>
        </w:tc>
      </w:tr>
      <w:tr w:rsidR="00A15718" w:rsidRPr="00A15718" w14:paraId="326DCCEB" w14:textId="77777777" w:rsidTr="0081318F">
        <w:trPr>
          <w:trHeight w:val="20"/>
        </w:trPr>
        <w:tc>
          <w:tcPr>
            <w:tcW w:w="803" w:type="pct"/>
            <w:shd w:val="clear" w:color="auto" w:fill="A4CDFA"/>
            <w:vAlign w:val="center"/>
          </w:tcPr>
          <w:p w14:paraId="7FD8BF32" w14:textId="77777777" w:rsidR="00A15718" w:rsidRPr="00A15718" w:rsidRDefault="00A15718" w:rsidP="0081318F">
            <w:pPr>
              <w:rPr>
                <w:rFonts w:ascii="Arial" w:hAnsi="Arial" w:cs="Arial"/>
              </w:rPr>
            </w:pPr>
            <w:r w:rsidRPr="00A15718">
              <w:rPr>
                <w:rFonts w:ascii="Arial" w:hAnsi="Arial" w:cs="Arial"/>
              </w:rPr>
              <w:t>Men</w:t>
            </w:r>
          </w:p>
        </w:tc>
        <w:tc>
          <w:tcPr>
            <w:tcW w:w="706" w:type="pct"/>
            <w:vAlign w:val="center"/>
          </w:tcPr>
          <w:p w14:paraId="392BDA40" w14:textId="77777777" w:rsidR="00A15718" w:rsidRPr="00A15718" w:rsidRDefault="00A15718" w:rsidP="0081318F">
            <w:pPr>
              <w:rPr>
                <w:rFonts w:ascii="Arial" w:hAnsi="Arial" w:cs="Arial"/>
              </w:rPr>
            </w:pPr>
            <w:r w:rsidRPr="00A15718">
              <w:rPr>
                <w:rFonts w:ascii="Arial" w:hAnsi="Arial" w:cs="Arial"/>
              </w:rPr>
              <w:t>2057</w:t>
            </w:r>
          </w:p>
        </w:tc>
        <w:tc>
          <w:tcPr>
            <w:tcW w:w="535" w:type="pct"/>
            <w:vAlign w:val="center"/>
          </w:tcPr>
          <w:p w14:paraId="6260911B" w14:textId="77777777" w:rsidR="00A15718" w:rsidRPr="00A15718" w:rsidRDefault="00A15718" w:rsidP="0081318F">
            <w:pPr>
              <w:rPr>
                <w:rFonts w:ascii="Arial" w:hAnsi="Arial" w:cs="Arial"/>
              </w:rPr>
            </w:pPr>
            <w:r w:rsidRPr="00A15718">
              <w:rPr>
                <w:rFonts w:ascii="Arial" w:hAnsi="Arial" w:cs="Arial"/>
              </w:rPr>
              <w:t>21.9%</w:t>
            </w:r>
          </w:p>
        </w:tc>
        <w:tc>
          <w:tcPr>
            <w:tcW w:w="725" w:type="pct"/>
            <w:vAlign w:val="center"/>
          </w:tcPr>
          <w:p w14:paraId="2DAB9A11" w14:textId="77777777" w:rsidR="00A15718" w:rsidRPr="00A15718" w:rsidRDefault="00A15718" w:rsidP="0081318F">
            <w:pPr>
              <w:rPr>
                <w:rFonts w:ascii="Arial" w:hAnsi="Arial" w:cs="Arial"/>
              </w:rPr>
            </w:pPr>
            <w:r w:rsidRPr="00A15718">
              <w:rPr>
                <w:rFonts w:ascii="Arial" w:hAnsi="Arial" w:cs="Arial"/>
              </w:rPr>
              <w:t>2010</w:t>
            </w:r>
          </w:p>
        </w:tc>
        <w:tc>
          <w:tcPr>
            <w:tcW w:w="574" w:type="pct"/>
            <w:vAlign w:val="center"/>
          </w:tcPr>
          <w:p w14:paraId="2B424F2D" w14:textId="77777777" w:rsidR="00A15718" w:rsidRPr="00A15718" w:rsidRDefault="00A15718" w:rsidP="0081318F">
            <w:pPr>
              <w:rPr>
                <w:rFonts w:ascii="Arial" w:hAnsi="Arial" w:cs="Arial"/>
              </w:rPr>
            </w:pPr>
            <w:r w:rsidRPr="00A15718">
              <w:rPr>
                <w:rFonts w:ascii="Arial" w:hAnsi="Arial" w:cs="Arial"/>
              </w:rPr>
              <w:t>21.9%</w:t>
            </w:r>
          </w:p>
        </w:tc>
        <w:tc>
          <w:tcPr>
            <w:tcW w:w="1657" w:type="pct"/>
            <w:vAlign w:val="center"/>
          </w:tcPr>
          <w:p w14:paraId="29E43263" w14:textId="77777777" w:rsidR="00A15718" w:rsidRPr="00A15718" w:rsidRDefault="00A15718" w:rsidP="0081318F">
            <w:pPr>
              <w:rPr>
                <w:rFonts w:ascii="Arial" w:hAnsi="Arial" w:cs="Arial"/>
              </w:rPr>
            </w:pPr>
            <w:r w:rsidRPr="00A15718">
              <w:rPr>
                <w:rFonts w:ascii="Arial" w:hAnsi="Arial" w:cs="Arial"/>
              </w:rPr>
              <w:t>% stayed the same compared to 2024</w:t>
            </w:r>
          </w:p>
        </w:tc>
      </w:tr>
      <w:tr w:rsidR="00A15718" w:rsidRPr="00A15718" w14:paraId="59A72E58" w14:textId="77777777" w:rsidTr="0081318F">
        <w:trPr>
          <w:trHeight w:val="20"/>
        </w:trPr>
        <w:tc>
          <w:tcPr>
            <w:tcW w:w="803" w:type="pct"/>
            <w:shd w:val="clear" w:color="auto" w:fill="A4CDFA"/>
            <w:vAlign w:val="center"/>
          </w:tcPr>
          <w:p w14:paraId="395B1BC1" w14:textId="77777777" w:rsidR="00A15718" w:rsidRPr="00A15718" w:rsidRDefault="00A15718" w:rsidP="0081318F">
            <w:pPr>
              <w:rPr>
                <w:rFonts w:ascii="Arial" w:hAnsi="Arial" w:cs="Arial"/>
              </w:rPr>
            </w:pPr>
            <w:r w:rsidRPr="00A15718">
              <w:rPr>
                <w:rFonts w:ascii="Arial" w:hAnsi="Arial" w:cs="Arial"/>
              </w:rPr>
              <w:t>Women</w:t>
            </w:r>
          </w:p>
        </w:tc>
        <w:tc>
          <w:tcPr>
            <w:tcW w:w="706" w:type="pct"/>
            <w:vAlign w:val="center"/>
          </w:tcPr>
          <w:p w14:paraId="7744806B" w14:textId="77777777" w:rsidR="00A15718" w:rsidRPr="00A15718" w:rsidRDefault="00A15718" w:rsidP="0081318F">
            <w:pPr>
              <w:rPr>
                <w:rFonts w:ascii="Arial" w:hAnsi="Arial" w:cs="Arial"/>
              </w:rPr>
            </w:pPr>
            <w:r w:rsidRPr="00A15718">
              <w:rPr>
                <w:rFonts w:ascii="Arial" w:hAnsi="Arial" w:cs="Arial"/>
              </w:rPr>
              <w:t>7325</w:t>
            </w:r>
          </w:p>
        </w:tc>
        <w:tc>
          <w:tcPr>
            <w:tcW w:w="535" w:type="pct"/>
            <w:vAlign w:val="center"/>
          </w:tcPr>
          <w:p w14:paraId="19FF89C0" w14:textId="77777777" w:rsidR="00A15718" w:rsidRPr="00A15718" w:rsidRDefault="00A15718" w:rsidP="0081318F">
            <w:pPr>
              <w:rPr>
                <w:rFonts w:ascii="Arial" w:hAnsi="Arial" w:cs="Arial"/>
              </w:rPr>
            </w:pPr>
            <w:r w:rsidRPr="00A15718">
              <w:rPr>
                <w:rFonts w:ascii="Arial" w:hAnsi="Arial" w:cs="Arial"/>
              </w:rPr>
              <w:t>78.1%</w:t>
            </w:r>
          </w:p>
        </w:tc>
        <w:tc>
          <w:tcPr>
            <w:tcW w:w="725" w:type="pct"/>
            <w:vAlign w:val="center"/>
          </w:tcPr>
          <w:p w14:paraId="7B544E68" w14:textId="77777777" w:rsidR="00A15718" w:rsidRPr="00A15718" w:rsidRDefault="00A15718" w:rsidP="0081318F">
            <w:pPr>
              <w:rPr>
                <w:rFonts w:ascii="Arial" w:hAnsi="Arial" w:cs="Arial"/>
              </w:rPr>
            </w:pPr>
            <w:r w:rsidRPr="00A15718">
              <w:rPr>
                <w:rFonts w:ascii="Arial" w:hAnsi="Arial" w:cs="Arial"/>
              </w:rPr>
              <w:t>7182</w:t>
            </w:r>
          </w:p>
        </w:tc>
        <w:tc>
          <w:tcPr>
            <w:tcW w:w="574" w:type="pct"/>
            <w:vAlign w:val="center"/>
          </w:tcPr>
          <w:p w14:paraId="6C50ECCE" w14:textId="77777777" w:rsidR="00A15718" w:rsidRPr="00A15718" w:rsidRDefault="00A15718" w:rsidP="0081318F">
            <w:pPr>
              <w:rPr>
                <w:rFonts w:ascii="Arial" w:hAnsi="Arial" w:cs="Arial"/>
              </w:rPr>
            </w:pPr>
            <w:r w:rsidRPr="00A15718">
              <w:rPr>
                <w:rFonts w:ascii="Arial" w:hAnsi="Arial" w:cs="Arial"/>
              </w:rPr>
              <w:t>78.1%</w:t>
            </w:r>
          </w:p>
        </w:tc>
        <w:tc>
          <w:tcPr>
            <w:tcW w:w="1657" w:type="pct"/>
            <w:vAlign w:val="center"/>
          </w:tcPr>
          <w:p w14:paraId="779992F1" w14:textId="77777777" w:rsidR="00A15718" w:rsidRPr="00A15718" w:rsidRDefault="00A15718" w:rsidP="0081318F">
            <w:pPr>
              <w:rPr>
                <w:rFonts w:ascii="Arial" w:hAnsi="Arial" w:cs="Arial"/>
              </w:rPr>
            </w:pPr>
            <w:r w:rsidRPr="00A15718">
              <w:rPr>
                <w:rFonts w:ascii="Arial" w:hAnsi="Arial" w:cs="Arial"/>
              </w:rPr>
              <w:t>% stayed the same compared to 2024</w:t>
            </w:r>
          </w:p>
        </w:tc>
      </w:tr>
    </w:tbl>
    <w:bookmarkEnd w:id="0"/>
    <w:p w14:paraId="11F9EE2A" w14:textId="77777777" w:rsidR="00A15718" w:rsidRPr="00A15718" w:rsidRDefault="00A15718" w:rsidP="00A15718">
      <w:pPr>
        <w:spacing w:before="120" w:after="120" w:line="276" w:lineRule="auto"/>
        <w:jc w:val="both"/>
        <w:rPr>
          <w:rFonts w:ascii="Arial" w:hAnsi="Arial" w:cs="Arial"/>
          <w:sz w:val="24"/>
          <w:szCs w:val="24"/>
        </w:rPr>
      </w:pPr>
      <w:r w:rsidRPr="00A15718">
        <w:rPr>
          <w:rFonts w:ascii="Arial" w:hAnsi="Arial" w:cs="Arial"/>
          <w:sz w:val="24"/>
          <w:szCs w:val="24"/>
        </w:rPr>
        <w:t>The Trust’s workforce increased by 2.1% from 2024 to 2025, rising from 9,192 to 9,382 staff. The proportions of men and women in the workforce remained unchanged, with 21.9% men and 78.1% women in both years.</w:t>
      </w:r>
    </w:p>
    <w:p w14:paraId="74B66D35"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Gender Pay Gap – All Staff</w:t>
      </w:r>
      <w:bookmarkStart w:id="1" w:name="_Hlk174037330"/>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bottom w:w="57" w:type="dxa"/>
        </w:tblCellMar>
        <w:tblLook w:val="04A0" w:firstRow="1" w:lastRow="0" w:firstColumn="1" w:lastColumn="0" w:noHBand="0" w:noVBand="1"/>
      </w:tblPr>
      <w:tblGrid>
        <w:gridCol w:w="2875"/>
        <w:gridCol w:w="2744"/>
        <w:gridCol w:w="3397"/>
      </w:tblGrid>
      <w:tr w:rsidR="00A15718" w:rsidRPr="00A15718" w14:paraId="2FE42488" w14:textId="77777777" w:rsidTr="0081318F">
        <w:trPr>
          <w:trHeight w:val="189"/>
        </w:trPr>
        <w:tc>
          <w:tcPr>
            <w:tcW w:w="1594" w:type="pct"/>
            <w:shd w:val="clear" w:color="auto" w:fill="0070C0"/>
            <w:vAlign w:val="center"/>
          </w:tcPr>
          <w:p w14:paraId="39DF6ADB" w14:textId="77777777" w:rsidR="00A15718" w:rsidRPr="00A15718" w:rsidRDefault="00A15718" w:rsidP="0081318F">
            <w:pPr>
              <w:rPr>
                <w:rFonts w:ascii="Arial" w:hAnsi="Arial" w:cs="Arial"/>
                <w:b/>
                <w:bCs/>
                <w:color w:val="FFFFFF" w:themeColor="background1"/>
              </w:rPr>
            </w:pPr>
            <w:bookmarkStart w:id="2" w:name="_Hlk187646965"/>
            <w:bookmarkStart w:id="3" w:name="_Hlk187647899"/>
            <w:bookmarkEnd w:id="1"/>
            <w:r w:rsidRPr="00A15718">
              <w:rPr>
                <w:rFonts w:ascii="Arial" w:hAnsi="Arial" w:cs="Arial"/>
                <w:b/>
                <w:bCs/>
                <w:color w:val="FFFFFF" w:themeColor="background1"/>
              </w:rPr>
              <w:t>Difference in Pay</w:t>
            </w:r>
          </w:p>
        </w:tc>
        <w:tc>
          <w:tcPr>
            <w:tcW w:w="1521" w:type="pct"/>
            <w:shd w:val="clear" w:color="auto" w:fill="0070C0"/>
            <w:vAlign w:val="center"/>
          </w:tcPr>
          <w:p w14:paraId="4B131CC4"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Gender Pay Gap</w:t>
            </w:r>
          </w:p>
        </w:tc>
        <w:tc>
          <w:tcPr>
            <w:tcW w:w="1884" w:type="pct"/>
            <w:shd w:val="clear" w:color="auto" w:fill="0070C0"/>
            <w:vAlign w:val="center"/>
          </w:tcPr>
          <w:p w14:paraId="37436771"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Compared to 2024</w:t>
            </w:r>
          </w:p>
        </w:tc>
      </w:tr>
      <w:bookmarkEnd w:id="2"/>
      <w:tr w:rsidR="00A15718" w:rsidRPr="00A15718" w14:paraId="0A36F133" w14:textId="77777777" w:rsidTr="0081318F">
        <w:trPr>
          <w:trHeight w:val="417"/>
        </w:trPr>
        <w:tc>
          <w:tcPr>
            <w:tcW w:w="1594" w:type="pct"/>
            <w:vAlign w:val="center"/>
          </w:tcPr>
          <w:p w14:paraId="5E5A3E03" w14:textId="77777777" w:rsidR="00A15718" w:rsidRPr="00A15718" w:rsidRDefault="00A15718" w:rsidP="0081318F">
            <w:pPr>
              <w:rPr>
                <w:rFonts w:ascii="Arial" w:hAnsi="Arial" w:cs="Arial"/>
              </w:rPr>
            </w:pPr>
            <w:r w:rsidRPr="00A15718">
              <w:rPr>
                <w:rFonts w:ascii="Arial" w:hAnsi="Arial" w:cs="Arial"/>
              </w:rPr>
              <w:t>Mean hourly pay for men £7.79 higher than women</w:t>
            </w:r>
          </w:p>
        </w:tc>
        <w:tc>
          <w:tcPr>
            <w:tcW w:w="1521" w:type="pct"/>
            <w:vAlign w:val="center"/>
          </w:tcPr>
          <w:p w14:paraId="4709D34E" w14:textId="77777777" w:rsidR="00A15718" w:rsidRPr="00A15718" w:rsidRDefault="00A15718" w:rsidP="0081318F">
            <w:pPr>
              <w:rPr>
                <w:rFonts w:ascii="Arial" w:hAnsi="Arial" w:cs="Arial"/>
              </w:rPr>
            </w:pPr>
            <w:r w:rsidRPr="00A15718">
              <w:rPr>
                <w:rFonts w:ascii="Arial" w:hAnsi="Arial" w:cs="Arial"/>
              </w:rPr>
              <w:t>Gender Pay Gap of 26.5%</w:t>
            </w:r>
          </w:p>
        </w:tc>
        <w:tc>
          <w:tcPr>
            <w:tcW w:w="1884" w:type="pct"/>
            <w:vAlign w:val="center"/>
          </w:tcPr>
          <w:p w14:paraId="5EFC257C" w14:textId="77777777" w:rsidR="00A15718" w:rsidRPr="00A15718" w:rsidRDefault="00A15718" w:rsidP="0081318F">
            <w:pPr>
              <w:rPr>
                <w:rFonts w:ascii="Arial" w:hAnsi="Arial" w:cs="Arial"/>
                <w:i/>
                <w:iCs/>
              </w:rPr>
            </w:pPr>
            <w:r w:rsidRPr="00A15718">
              <w:rPr>
                <w:rFonts w:ascii="Arial" w:hAnsi="Arial" w:cs="Arial"/>
              </w:rPr>
              <w:t xml:space="preserve">Increase of 3.2% </w:t>
            </w:r>
            <w:r w:rsidRPr="00A15718">
              <w:rPr>
                <w:rFonts w:ascii="Arial" w:hAnsi="Arial" w:cs="Arial"/>
                <w:i/>
                <w:iCs/>
              </w:rPr>
              <w:t>(23.3% in 2024)</w:t>
            </w:r>
          </w:p>
        </w:tc>
      </w:tr>
      <w:tr w:rsidR="00A15718" w:rsidRPr="00A15718" w14:paraId="3C37C243" w14:textId="77777777" w:rsidTr="0081318F">
        <w:tc>
          <w:tcPr>
            <w:tcW w:w="1594" w:type="pct"/>
            <w:vAlign w:val="center"/>
          </w:tcPr>
          <w:p w14:paraId="78CFDB42" w14:textId="77777777" w:rsidR="00A15718" w:rsidRPr="00A15718" w:rsidRDefault="00A15718" w:rsidP="0081318F">
            <w:pPr>
              <w:rPr>
                <w:rFonts w:ascii="Arial" w:hAnsi="Arial" w:cs="Arial"/>
              </w:rPr>
            </w:pPr>
            <w:r w:rsidRPr="00A15718">
              <w:rPr>
                <w:rFonts w:ascii="Arial" w:hAnsi="Arial" w:cs="Arial"/>
              </w:rPr>
              <w:t>Median hourly pay for men £4.20 higher than women</w:t>
            </w:r>
          </w:p>
        </w:tc>
        <w:tc>
          <w:tcPr>
            <w:tcW w:w="1521" w:type="pct"/>
            <w:vAlign w:val="center"/>
          </w:tcPr>
          <w:p w14:paraId="591B79D9" w14:textId="77777777" w:rsidR="00A15718" w:rsidRPr="00A15718" w:rsidRDefault="00A15718" w:rsidP="0081318F">
            <w:pPr>
              <w:rPr>
                <w:rFonts w:ascii="Arial" w:hAnsi="Arial" w:cs="Arial"/>
              </w:rPr>
            </w:pPr>
            <w:r w:rsidRPr="00A15718">
              <w:rPr>
                <w:rFonts w:ascii="Arial" w:hAnsi="Arial" w:cs="Arial"/>
              </w:rPr>
              <w:t>Gender Pay Gap of 17.8%</w:t>
            </w:r>
          </w:p>
        </w:tc>
        <w:tc>
          <w:tcPr>
            <w:tcW w:w="1884" w:type="pct"/>
            <w:vAlign w:val="center"/>
          </w:tcPr>
          <w:p w14:paraId="0E1E51E0" w14:textId="77777777" w:rsidR="00A15718" w:rsidRPr="00A15718" w:rsidRDefault="00A15718" w:rsidP="0081318F">
            <w:pPr>
              <w:rPr>
                <w:rFonts w:ascii="Arial" w:hAnsi="Arial" w:cs="Arial"/>
                <w:i/>
                <w:iCs/>
              </w:rPr>
            </w:pPr>
            <w:r w:rsidRPr="00A15718">
              <w:rPr>
                <w:rFonts w:ascii="Arial" w:hAnsi="Arial" w:cs="Arial"/>
              </w:rPr>
              <w:t xml:space="preserve">Increase of 0.6% </w:t>
            </w:r>
            <w:r w:rsidRPr="00A15718">
              <w:rPr>
                <w:rFonts w:ascii="Arial" w:hAnsi="Arial" w:cs="Arial"/>
                <w:i/>
                <w:iCs/>
              </w:rPr>
              <w:t>(17.2% in 2024)</w:t>
            </w:r>
          </w:p>
        </w:tc>
      </w:tr>
    </w:tbl>
    <w:bookmarkEnd w:id="3"/>
    <w:p w14:paraId="7355A53B" w14:textId="77777777" w:rsidR="00A15718" w:rsidRPr="00A15718" w:rsidRDefault="00A15718" w:rsidP="00A15718">
      <w:pPr>
        <w:spacing w:before="120" w:line="276" w:lineRule="auto"/>
        <w:jc w:val="both"/>
        <w:rPr>
          <w:rFonts w:ascii="Arial" w:hAnsi="Arial" w:cs="Arial"/>
          <w:sz w:val="24"/>
          <w:szCs w:val="24"/>
        </w:rPr>
      </w:pPr>
      <w:r w:rsidRPr="00A15718">
        <w:rPr>
          <w:rFonts w:ascii="Arial" w:hAnsi="Arial" w:cs="Arial"/>
          <w:sz w:val="24"/>
          <w:szCs w:val="24"/>
        </w:rPr>
        <w:t>The data shows that men earn more than women on both measures. The mean Gender Pay Gap is 26.5%, an increase of 3.2% from 2024. The median Gender Pay Gap is 17.8%, which is 0.6% higher than the previous year.</w:t>
      </w:r>
    </w:p>
    <w:p w14:paraId="7290D528"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Gender Pay Gap - Excluding Medical and Dental Staff</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bottom w:w="57" w:type="dxa"/>
        </w:tblCellMar>
        <w:tblLook w:val="04A0" w:firstRow="1" w:lastRow="0" w:firstColumn="1" w:lastColumn="0" w:noHBand="0" w:noVBand="1"/>
      </w:tblPr>
      <w:tblGrid>
        <w:gridCol w:w="2875"/>
        <w:gridCol w:w="2744"/>
        <w:gridCol w:w="3397"/>
      </w:tblGrid>
      <w:tr w:rsidR="00A15718" w:rsidRPr="00A15718" w14:paraId="33EC26E1" w14:textId="77777777" w:rsidTr="00A15718">
        <w:tc>
          <w:tcPr>
            <w:tcW w:w="1594" w:type="pct"/>
            <w:shd w:val="clear" w:color="auto" w:fill="0070C0"/>
            <w:vAlign w:val="center"/>
          </w:tcPr>
          <w:p w14:paraId="502B89F0" w14:textId="77777777" w:rsidR="00A15718" w:rsidRPr="00A15718" w:rsidRDefault="00A15718" w:rsidP="0081318F">
            <w:pPr>
              <w:rPr>
                <w:rFonts w:ascii="Arial" w:hAnsi="Arial" w:cs="Arial"/>
                <w:b/>
                <w:bCs/>
                <w:color w:val="FFFFFF" w:themeColor="background1"/>
              </w:rPr>
            </w:pPr>
            <w:bookmarkStart w:id="4" w:name="_Hlk174039639"/>
            <w:r w:rsidRPr="00A15718">
              <w:rPr>
                <w:rFonts w:ascii="Arial" w:hAnsi="Arial" w:cs="Arial"/>
                <w:b/>
                <w:bCs/>
                <w:color w:val="FFFFFF" w:themeColor="background1"/>
              </w:rPr>
              <w:t>Difference in Pay</w:t>
            </w:r>
          </w:p>
        </w:tc>
        <w:tc>
          <w:tcPr>
            <w:tcW w:w="1522" w:type="pct"/>
            <w:shd w:val="clear" w:color="auto" w:fill="0070C0"/>
            <w:vAlign w:val="center"/>
          </w:tcPr>
          <w:p w14:paraId="31578FA9"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Gender Pay Gap</w:t>
            </w:r>
          </w:p>
        </w:tc>
        <w:tc>
          <w:tcPr>
            <w:tcW w:w="1884" w:type="pct"/>
            <w:shd w:val="clear" w:color="auto" w:fill="0070C0"/>
            <w:vAlign w:val="center"/>
          </w:tcPr>
          <w:p w14:paraId="072F12AD"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Compared to 2024</w:t>
            </w:r>
          </w:p>
        </w:tc>
      </w:tr>
      <w:tr w:rsidR="00A15718" w:rsidRPr="00A15718" w14:paraId="14238E7D" w14:textId="77777777" w:rsidTr="00A15718">
        <w:trPr>
          <w:trHeight w:val="510"/>
        </w:trPr>
        <w:tc>
          <w:tcPr>
            <w:tcW w:w="1594" w:type="pct"/>
            <w:vAlign w:val="center"/>
          </w:tcPr>
          <w:p w14:paraId="059C49C7" w14:textId="77777777" w:rsidR="00A15718" w:rsidRPr="00A15718" w:rsidRDefault="00A15718" w:rsidP="0081318F">
            <w:pPr>
              <w:rPr>
                <w:rFonts w:ascii="Arial" w:hAnsi="Arial" w:cs="Arial"/>
              </w:rPr>
            </w:pPr>
            <w:r w:rsidRPr="00A15718">
              <w:rPr>
                <w:rFonts w:ascii="Arial" w:hAnsi="Arial" w:cs="Arial"/>
              </w:rPr>
              <w:t>Mean hourly pay for men £0.71 higher than women</w:t>
            </w:r>
          </w:p>
        </w:tc>
        <w:tc>
          <w:tcPr>
            <w:tcW w:w="1522" w:type="pct"/>
            <w:vAlign w:val="center"/>
          </w:tcPr>
          <w:p w14:paraId="57C70812" w14:textId="77777777" w:rsidR="00A15718" w:rsidRPr="00A15718" w:rsidRDefault="00A15718" w:rsidP="0081318F">
            <w:pPr>
              <w:rPr>
                <w:rFonts w:ascii="Arial" w:hAnsi="Arial" w:cs="Arial"/>
                <w:highlight w:val="yellow"/>
              </w:rPr>
            </w:pPr>
            <w:r w:rsidRPr="00A15718">
              <w:rPr>
                <w:rFonts w:ascii="Arial" w:hAnsi="Arial" w:cs="Arial"/>
              </w:rPr>
              <w:t>Gender Pay Gap of 3.6%</w:t>
            </w:r>
          </w:p>
        </w:tc>
        <w:tc>
          <w:tcPr>
            <w:tcW w:w="1884" w:type="pct"/>
            <w:vAlign w:val="center"/>
          </w:tcPr>
          <w:p w14:paraId="098D7DE6" w14:textId="77777777" w:rsidR="00A15718" w:rsidRPr="00A15718" w:rsidRDefault="00A15718" w:rsidP="0081318F">
            <w:pPr>
              <w:rPr>
                <w:rFonts w:ascii="Arial" w:hAnsi="Arial" w:cs="Arial"/>
                <w:i/>
                <w:iCs/>
                <w:highlight w:val="yellow"/>
              </w:rPr>
            </w:pPr>
            <w:r w:rsidRPr="00A15718">
              <w:rPr>
                <w:rFonts w:ascii="Arial" w:hAnsi="Arial" w:cs="Arial"/>
              </w:rPr>
              <w:t xml:space="preserve">Increase of 1.28% </w:t>
            </w:r>
            <w:r w:rsidRPr="00A15718">
              <w:rPr>
                <w:rFonts w:ascii="Arial" w:hAnsi="Arial" w:cs="Arial"/>
                <w:i/>
                <w:iCs/>
              </w:rPr>
              <w:t>(0.62% in 2024)</w:t>
            </w:r>
          </w:p>
        </w:tc>
      </w:tr>
      <w:tr w:rsidR="00A15718" w:rsidRPr="00A15718" w14:paraId="3C711FED" w14:textId="77777777" w:rsidTr="00A15718">
        <w:trPr>
          <w:trHeight w:val="510"/>
        </w:trPr>
        <w:tc>
          <w:tcPr>
            <w:tcW w:w="1594" w:type="pct"/>
            <w:vAlign w:val="center"/>
          </w:tcPr>
          <w:p w14:paraId="331E1226" w14:textId="77777777" w:rsidR="00A15718" w:rsidRPr="00A15718" w:rsidRDefault="00A15718" w:rsidP="0081318F">
            <w:pPr>
              <w:rPr>
                <w:rFonts w:ascii="Arial" w:hAnsi="Arial" w:cs="Arial"/>
              </w:rPr>
            </w:pPr>
            <w:r w:rsidRPr="00A15718">
              <w:rPr>
                <w:rFonts w:ascii="Arial" w:hAnsi="Arial" w:cs="Arial"/>
              </w:rPr>
              <w:lastRenderedPageBreak/>
              <w:t xml:space="preserve">Median hourly pay for men </w:t>
            </w:r>
            <w:bookmarkStart w:id="5" w:name="_Hlk191479398"/>
            <w:r w:rsidRPr="00A15718">
              <w:rPr>
                <w:rFonts w:ascii="Arial" w:hAnsi="Arial" w:cs="Arial"/>
              </w:rPr>
              <w:t xml:space="preserve">-£0.88 </w:t>
            </w:r>
            <w:bookmarkEnd w:id="5"/>
            <w:r w:rsidRPr="00A15718">
              <w:rPr>
                <w:rFonts w:ascii="Arial" w:hAnsi="Arial" w:cs="Arial"/>
              </w:rPr>
              <w:t>higher than women</w:t>
            </w:r>
          </w:p>
        </w:tc>
        <w:tc>
          <w:tcPr>
            <w:tcW w:w="1522" w:type="pct"/>
            <w:vAlign w:val="center"/>
          </w:tcPr>
          <w:p w14:paraId="23AB1340" w14:textId="77777777" w:rsidR="00A15718" w:rsidRPr="00A15718" w:rsidRDefault="00A15718" w:rsidP="0081318F">
            <w:pPr>
              <w:rPr>
                <w:rFonts w:ascii="Arial" w:hAnsi="Arial" w:cs="Arial"/>
              </w:rPr>
            </w:pPr>
            <w:r w:rsidRPr="00A15718">
              <w:rPr>
                <w:rFonts w:ascii="Arial" w:hAnsi="Arial" w:cs="Arial"/>
              </w:rPr>
              <w:t>Gender Pay Gap of -5.0%</w:t>
            </w:r>
          </w:p>
        </w:tc>
        <w:tc>
          <w:tcPr>
            <w:tcW w:w="1884" w:type="pct"/>
            <w:vAlign w:val="center"/>
          </w:tcPr>
          <w:p w14:paraId="750E30C0" w14:textId="77777777" w:rsidR="00A15718" w:rsidRPr="00A15718" w:rsidRDefault="00A15718" w:rsidP="0081318F">
            <w:pPr>
              <w:rPr>
                <w:rFonts w:ascii="Arial" w:hAnsi="Arial" w:cs="Arial"/>
                <w:i/>
                <w:iCs/>
              </w:rPr>
            </w:pPr>
            <w:r w:rsidRPr="00A15718">
              <w:rPr>
                <w:rFonts w:ascii="Arial" w:hAnsi="Arial" w:cs="Arial"/>
              </w:rPr>
              <w:t xml:space="preserve">Decrease of 0.3% </w:t>
            </w:r>
            <w:r w:rsidRPr="00A15718">
              <w:rPr>
                <w:rFonts w:ascii="Arial" w:hAnsi="Arial" w:cs="Arial"/>
                <w:i/>
                <w:iCs/>
              </w:rPr>
              <w:t>(-5.03% in 2024)</w:t>
            </w:r>
          </w:p>
        </w:tc>
      </w:tr>
    </w:tbl>
    <w:bookmarkEnd w:id="4"/>
    <w:p w14:paraId="6423BD6E" w14:textId="77777777" w:rsidR="00A15718" w:rsidRPr="00A15718" w:rsidRDefault="00A15718" w:rsidP="00A15718">
      <w:pPr>
        <w:spacing w:before="120" w:after="120" w:line="276" w:lineRule="auto"/>
        <w:jc w:val="both"/>
        <w:rPr>
          <w:rFonts w:ascii="Arial" w:hAnsi="Arial" w:cs="Arial"/>
          <w:sz w:val="24"/>
          <w:szCs w:val="24"/>
        </w:rPr>
      </w:pPr>
      <w:r w:rsidRPr="00A15718">
        <w:rPr>
          <w:rFonts w:ascii="Arial" w:hAnsi="Arial" w:cs="Arial"/>
          <w:sz w:val="24"/>
          <w:szCs w:val="24"/>
        </w:rPr>
        <w:t>Among non</w:t>
      </w:r>
      <w:r w:rsidRPr="00A15718">
        <w:rPr>
          <w:rFonts w:ascii="Arial" w:hAnsi="Arial" w:cs="Arial"/>
          <w:sz w:val="24"/>
          <w:szCs w:val="24"/>
        </w:rPr>
        <w:noBreakHyphen/>
        <w:t>medical staff, the mean pay gap is 3.6% in favour of men, an increase from last year. The median pay gap is 5.0% in favour of women, showing a slight decrease compared to 2024.</w:t>
      </w:r>
    </w:p>
    <w:p w14:paraId="1BFC8129"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Pay Quartiles</w:t>
      </w:r>
    </w:p>
    <w:p w14:paraId="40F3D4C4" w14:textId="77777777" w:rsidR="00A15718" w:rsidRPr="00A15718" w:rsidRDefault="00A15718" w:rsidP="00A15718">
      <w:pPr>
        <w:pStyle w:val="ListParagraph"/>
        <w:numPr>
          <w:ilvl w:val="0"/>
          <w:numId w:val="6"/>
        </w:numPr>
        <w:spacing w:before="120" w:after="120" w:line="276" w:lineRule="auto"/>
        <w:contextualSpacing w:val="0"/>
        <w:jc w:val="both"/>
        <w:rPr>
          <w:rFonts w:ascii="Arial" w:hAnsi="Arial" w:cs="Arial"/>
          <w:vanish/>
          <w:sz w:val="24"/>
          <w:szCs w:val="24"/>
        </w:rPr>
      </w:pPr>
    </w:p>
    <w:p w14:paraId="653638FE"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We are required to split the workforce into quartiles (blocks of 25%) split by pay and show proportions of men and women.</w:t>
      </w:r>
    </w:p>
    <w:p w14:paraId="0FEFAD4F" w14:textId="77777777" w:rsidR="00A15718" w:rsidRPr="009E6DA0" w:rsidRDefault="00A15718" w:rsidP="009E6DA0">
      <w:pPr>
        <w:rPr>
          <w:rFonts w:ascii="Arial" w:hAnsi="Arial" w:cs="Arial"/>
          <w:b/>
          <w:bCs/>
          <w:sz w:val="24"/>
          <w:szCs w:val="24"/>
        </w:rPr>
      </w:pPr>
      <w:r w:rsidRPr="009E6DA0">
        <w:rPr>
          <w:rFonts w:ascii="Arial" w:hAnsi="Arial" w:cs="Arial"/>
          <w:b/>
          <w:bCs/>
          <w:noProof/>
          <w:sz w:val="24"/>
          <w:szCs w:val="24"/>
          <w:shd w:val="clear" w:color="auto" w:fill="0070C0"/>
        </w:rPr>
        <w:drawing>
          <wp:anchor distT="0" distB="0" distL="114300" distR="114300" simplePos="0" relativeHeight="251659264" behindDoc="0" locked="0" layoutInCell="1" allowOverlap="1" wp14:anchorId="78D85F6D" wp14:editId="1FD1CD7D">
            <wp:simplePos x="0" y="0"/>
            <wp:positionH relativeFrom="margin">
              <wp:posOffset>1905</wp:posOffset>
            </wp:positionH>
            <wp:positionV relativeFrom="paragraph">
              <wp:posOffset>205105</wp:posOffset>
            </wp:positionV>
            <wp:extent cx="6362700" cy="1781175"/>
            <wp:effectExtent l="0" t="0" r="0" b="0"/>
            <wp:wrapTopAndBottom/>
            <wp:docPr id="1001148898" name="Chart 1">
              <a:extLst xmlns:a="http://schemas.openxmlformats.org/drawingml/2006/main">
                <a:ext uri="{FF2B5EF4-FFF2-40B4-BE49-F238E27FC236}">
                  <a16:creationId xmlns:a16="http://schemas.microsoft.com/office/drawing/2014/main" id="{B11BAF83-7E78-47E2-802E-9984FF338E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Pr="009E6DA0">
        <w:rPr>
          <w:rFonts w:ascii="Arial" w:hAnsi="Arial" w:cs="Arial"/>
          <w:b/>
          <w:bCs/>
          <w:sz w:val="24"/>
          <w:szCs w:val="24"/>
        </w:rPr>
        <w:t>Percentage of Gender in Pay Quartiles – All Staff</w:t>
      </w:r>
    </w:p>
    <w:p w14:paraId="173E1DCA"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 xml:space="preserve">The chart shows that women make up </w:t>
      </w:r>
      <w:proofErr w:type="gramStart"/>
      <w:r w:rsidRPr="00A15718">
        <w:rPr>
          <w:rFonts w:ascii="Arial" w:hAnsi="Arial" w:cs="Arial"/>
          <w:sz w:val="24"/>
          <w:szCs w:val="24"/>
        </w:rPr>
        <w:t>the majority of</w:t>
      </w:r>
      <w:proofErr w:type="gramEnd"/>
      <w:r w:rsidRPr="00A15718">
        <w:rPr>
          <w:rFonts w:ascii="Arial" w:hAnsi="Arial" w:cs="Arial"/>
          <w:sz w:val="24"/>
          <w:szCs w:val="24"/>
        </w:rPr>
        <w:t xml:space="preserve"> staff in all pay quartiles. Representation is highest in the lower and middle quartiles, where women account for more than 82% of staff. In the upper quartile, the gender imbalance decreases, with women making up around 63% and men 37%. This pattern indicates that men are proportionally more represented in higher</w:t>
      </w:r>
      <w:r w:rsidRPr="00A15718">
        <w:rPr>
          <w:rFonts w:ascii="Arial" w:hAnsi="Arial" w:cs="Arial"/>
          <w:sz w:val="24"/>
          <w:szCs w:val="24"/>
        </w:rPr>
        <w:noBreakHyphen/>
        <w:t>paid roles than in lower</w:t>
      </w:r>
      <w:r w:rsidRPr="00A15718">
        <w:rPr>
          <w:rFonts w:ascii="Arial" w:hAnsi="Arial" w:cs="Arial"/>
          <w:sz w:val="24"/>
          <w:szCs w:val="24"/>
        </w:rPr>
        <w:noBreakHyphen/>
        <w:t>paid ones.</w:t>
      </w:r>
    </w:p>
    <w:p w14:paraId="38A9FA33" w14:textId="77777777" w:rsidR="00A15718" w:rsidRPr="00A15718" w:rsidRDefault="00A15718" w:rsidP="00A15718">
      <w:pPr>
        <w:spacing w:before="120" w:line="276" w:lineRule="auto"/>
        <w:jc w:val="both"/>
        <w:rPr>
          <w:rFonts w:ascii="Arial" w:hAnsi="Arial" w:cs="Arial"/>
          <w:b/>
          <w:bCs/>
          <w:sz w:val="24"/>
          <w:szCs w:val="24"/>
        </w:rPr>
      </w:pPr>
      <w:r w:rsidRPr="00A15718">
        <w:rPr>
          <w:rFonts w:ascii="Arial" w:hAnsi="Arial" w:cs="Arial"/>
          <w:noProof/>
          <w:sz w:val="24"/>
          <w:szCs w:val="24"/>
        </w:rPr>
        <w:drawing>
          <wp:anchor distT="0" distB="0" distL="114300" distR="114300" simplePos="0" relativeHeight="251661312" behindDoc="0" locked="0" layoutInCell="1" allowOverlap="1" wp14:anchorId="6BF0505D" wp14:editId="7D47F7D1">
            <wp:simplePos x="0" y="0"/>
            <wp:positionH relativeFrom="margin">
              <wp:posOffset>-26670</wp:posOffset>
            </wp:positionH>
            <wp:positionV relativeFrom="paragraph">
              <wp:posOffset>192405</wp:posOffset>
            </wp:positionV>
            <wp:extent cx="6400800" cy="1628775"/>
            <wp:effectExtent l="0" t="0" r="0" b="0"/>
            <wp:wrapTopAndBottom/>
            <wp:docPr id="1217943981" name="Chart 1">
              <a:extLst xmlns:a="http://schemas.openxmlformats.org/drawingml/2006/main">
                <a:ext uri="{FF2B5EF4-FFF2-40B4-BE49-F238E27FC236}">
                  <a16:creationId xmlns:a16="http://schemas.microsoft.com/office/drawing/2014/main" id="{1A635F93-D7AD-442B-B5EA-4186884A99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A15718">
        <w:rPr>
          <w:rFonts w:ascii="Arial" w:hAnsi="Arial" w:cs="Arial"/>
          <w:b/>
          <w:bCs/>
          <w:sz w:val="24"/>
          <w:szCs w:val="24"/>
        </w:rPr>
        <w:t>Percentage of Gender in Pay Quartiles - No Medical Staff</w:t>
      </w:r>
    </w:p>
    <w:p w14:paraId="37877108"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The chart shows that women make up a strong majority of non</w:t>
      </w:r>
      <w:r w:rsidRPr="00A15718">
        <w:rPr>
          <w:rFonts w:ascii="Arial" w:hAnsi="Arial" w:cs="Arial"/>
          <w:sz w:val="24"/>
          <w:szCs w:val="24"/>
        </w:rPr>
        <w:noBreakHyphen/>
        <w:t>medical staff in every pay quartile. Across all four quartiles, women consistently represent more than 82% of staff. This indicates that the gender distribution is broadly similar at all pay levels for non</w:t>
      </w:r>
      <w:r w:rsidRPr="00A15718">
        <w:rPr>
          <w:rFonts w:ascii="Arial" w:hAnsi="Arial" w:cs="Arial"/>
          <w:sz w:val="24"/>
          <w:szCs w:val="24"/>
        </w:rPr>
        <w:noBreakHyphen/>
        <w:t>medical roles, with men making up a much smaller proportion throughout.</w:t>
      </w:r>
    </w:p>
    <w:p w14:paraId="0F266F25" w14:textId="77777777" w:rsidR="00A15718" w:rsidRPr="00A15718" w:rsidRDefault="00A15718" w:rsidP="00A15718">
      <w:pPr>
        <w:spacing w:before="120" w:after="120" w:line="276" w:lineRule="auto"/>
        <w:jc w:val="both"/>
        <w:rPr>
          <w:rFonts w:ascii="Arial" w:eastAsia="Arial" w:hAnsi="Arial" w:cs="Arial"/>
          <w:b/>
          <w:bCs/>
          <w:sz w:val="24"/>
          <w:szCs w:val="24"/>
        </w:rPr>
      </w:pPr>
      <w:r w:rsidRPr="00A15718">
        <w:rPr>
          <w:rFonts w:ascii="Arial" w:hAnsi="Arial" w:cs="Arial"/>
          <w:noProof/>
          <w:sz w:val="24"/>
          <w:szCs w:val="24"/>
        </w:rPr>
        <w:lastRenderedPageBreak/>
        <w:drawing>
          <wp:anchor distT="0" distB="0" distL="114300" distR="114300" simplePos="0" relativeHeight="251663360" behindDoc="0" locked="0" layoutInCell="1" allowOverlap="1" wp14:anchorId="3F9A0E36" wp14:editId="142003B6">
            <wp:simplePos x="0" y="0"/>
            <wp:positionH relativeFrom="margin">
              <wp:posOffset>-17145</wp:posOffset>
            </wp:positionH>
            <wp:positionV relativeFrom="paragraph">
              <wp:posOffset>294005</wp:posOffset>
            </wp:positionV>
            <wp:extent cx="6429375" cy="1647825"/>
            <wp:effectExtent l="0" t="0" r="0" b="0"/>
            <wp:wrapTopAndBottom/>
            <wp:docPr id="98649245" name="Chart 1">
              <a:extLst xmlns:a="http://schemas.openxmlformats.org/drawingml/2006/main">
                <a:ext uri="{FF2B5EF4-FFF2-40B4-BE49-F238E27FC236}">
                  <a16:creationId xmlns:a16="http://schemas.microsoft.com/office/drawing/2014/main" id="{EB096C12-86FB-4639-A599-05DE1EB25D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A15718">
        <w:rPr>
          <w:rFonts w:ascii="Arial" w:hAnsi="Arial" w:cs="Arial"/>
          <w:b/>
          <w:bCs/>
          <w:sz w:val="24"/>
          <w:szCs w:val="24"/>
        </w:rPr>
        <w:t>Percentage</w:t>
      </w:r>
      <w:r w:rsidRPr="00A15718">
        <w:rPr>
          <w:rFonts w:ascii="Arial" w:eastAsia="Arial" w:hAnsi="Arial" w:cs="Arial"/>
          <w:b/>
          <w:bCs/>
          <w:sz w:val="24"/>
          <w:szCs w:val="24"/>
        </w:rPr>
        <w:t xml:space="preserve"> of Gender in Pay Quartiles - Medical Staff Only</w:t>
      </w:r>
    </w:p>
    <w:p w14:paraId="5082A8FF" w14:textId="77777777" w:rsidR="00A15718" w:rsidRPr="00A15718" w:rsidRDefault="00A15718" w:rsidP="00A15718">
      <w:pPr>
        <w:spacing w:after="120" w:line="276" w:lineRule="auto"/>
        <w:jc w:val="both"/>
        <w:rPr>
          <w:rFonts w:ascii="Arial" w:hAnsi="Arial" w:cs="Arial"/>
          <w:noProof/>
          <w:sz w:val="24"/>
          <w:szCs w:val="24"/>
        </w:rPr>
      </w:pPr>
      <w:r w:rsidRPr="00A15718">
        <w:rPr>
          <w:rFonts w:ascii="Arial" w:hAnsi="Arial" w:cs="Arial"/>
          <w:sz w:val="24"/>
          <w:szCs w:val="24"/>
        </w:rPr>
        <w:t>Across</w:t>
      </w:r>
      <w:r w:rsidRPr="00A15718">
        <w:rPr>
          <w:rFonts w:ascii="Arial" w:hAnsi="Arial" w:cs="Arial"/>
          <w:noProof/>
          <w:sz w:val="24"/>
          <w:szCs w:val="24"/>
        </w:rPr>
        <w:t xml:space="preserve"> all medical staff pay quartiles apart from the Upper Quartile, women make up the majority. Female representation increases toward the lower quartiles, with women accounting for around 63% in the lowest quartile. In the upper quartile only males outnumber females, with 61% male and 39% female.  </w:t>
      </w:r>
    </w:p>
    <w:p w14:paraId="4062ECB3" w14:textId="1AE5E3BD" w:rsidR="00A15718" w:rsidRPr="009E6DA0" w:rsidRDefault="00A15718" w:rsidP="009E6DA0">
      <w:pPr>
        <w:rPr>
          <w:rFonts w:ascii="Arial" w:hAnsi="Arial" w:cs="Arial"/>
          <w:b/>
          <w:bCs/>
          <w:sz w:val="24"/>
          <w:szCs w:val="24"/>
        </w:rPr>
      </w:pPr>
      <w:r w:rsidRPr="009E6DA0">
        <w:rPr>
          <w:rFonts w:ascii="Arial" w:hAnsi="Arial" w:cs="Arial"/>
          <w:b/>
          <w:bCs/>
          <w:sz w:val="24"/>
          <w:szCs w:val="24"/>
        </w:rPr>
        <w:t xml:space="preserve">Bonus Payments </w:t>
      </w:r>
    </w:p>
    <w:p w14:paraId="2E1F6D4A" w14:textId="77777777" w:rsidR="00A15718" w:rsidRPr="00A15718" w:rsidRDefault="00A15718" w:rsidP="00A15718">
      <w:pPr>
        <w:pStyle w:val="ListParagraph"/>
        <w:numPr>
          <w:ilvl w:val="0"/>
          <w:numId w:val="6"/>
        </w:numPr>
        <w:spacing w:before="120" w:after="120" w:line="276" w:lineRule="auto"/>
        <w:contextualSpacing w:val="0"/>
        <w:jc w:val="both"/>
        <w:rPr>
          <w:rFonts w:ascii="Arial" w:hAnsi="Arial" w:cs="Arial"/>
          <w:vanish/>
          <w:sz w:val="24"/>
          <w:szCs w:val="24"/>
        </w:rPr>
      </w:pPr>
      <w:bookmarkStart w:id="6" w:name="_Hlk196830171"/>
    </w:p>
    <w:p w14:paraId="06B076B2" w14:textId="77777777" w:rsidR="00A15718" w:rsidRPr="00A15718" w:rsidRDefault="00A15718" w:rsidP="00A15718">
      <w:pPr>
        <w:spacing w:before="120" w:after="120" w:line="276" w:lineRule="auto"/>
        <w:jc w:val="both"/>
        <w:rPr>
          <w:rFonts w:ascii="Arial" w:hAnsi="Arial" w:cs="Arial"/>
          <w:sz w:val="24"/>
          <w:szCs w:val="24"/>
        </w:rPr>
      </w:pPr>
      <w:r w:rsidRPr="00A15718">
        <w:rPr>
          <w:rFonts w:ascii="Arial" w:hAnsi="Arial" w:cs="Arial"/>
          <w:sz w:val="24"/>
          <w:szCs w:val="24"/>
        </w:rPr>
        <w:t>The Trust operated an annual Local Clinical Excellence Award (LCEA) round for eligible consultants.  This recognises and rewards individuals who demonstrate achievements in developing and delivering high quality patient care over and above the standard expected of their role, with a commitment to the continuous improvement of the NHS. However, this was stopped in 2020 and the budget for CEAs was split equally between substantive consultants. Of note, this was not done pro rata – less than fulltime staff received the same amount as full time staff. Local CEAs were abolished as part of the pay negotiations resulting in a new consultant contract. There are fewer than 10 consultants in the Trust who receive a national CEA, but these awards are very large and still significantly contribute to the gender pay gap.</w:t>
      </w:r>
      <w:bookmarkEnd w:id="6"/>
    </w:p>
    <w:p w14:paraId="3AC630BA" w14:textId="77777777" w:rsidR="00A15718" w:rsidRPr="00A15718" w:rsidRDefault="00A15718" w:rsidP="00A15718">
      <w:pPr>
        <w:spacing w:before="120" w:line="276" w:lineRule="auto"/>
        <w:jc w:val="both"/>
        <w:rPr>
          <w:rFonts w:ascii="Arial" w:hAnsi="Arial" w:cs="Arial"/>
          <w:sz w:val="24"/>
          <w:szCs w:val="24"/>
        </w:rPr>
      </w:pPr>
      <w:r w:rsidRPr="00A15718">
        <w:rPr>
          <w:rFonts w:ascii="Arial" w:hAnsi="Arial" w:cs="Arial"/>
          <w:sz w:val="24"/>
          <w:szCs w:val="24"/>
        </w:rPr>
        <w:t xml:space="preserve">In 2025, 163 bonus payments were made to Medical and Dental staff. 111 (68%) of these were awarded to men and 52 (32%) awarded to women. </w:t>
      </w:r>
    </w:p>
    <w:p w14:paraId="604833E6"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Mean Bonus Pay Gap: Male consultants earned an average bonus of £13,080.83 compared to £7,389.36 for women – a 43.5% pay gap.</w:t>
      </w:r>
    </w:p>
    <w:p w14:paraId="4CFBE0B6"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 xml:space="preserve">Median Bonus Pay Gap: The median Bonus for men was £9,048.00, and for women was £3,015.97, which gives a 66.7% pay gap. </w:t>
      </w:r>
    </w:p>
    <w:p w14:paraId="716D2741"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Gender Pay Gap Conclusion</w:t>
      </w:r>
    </w:p>
    <w:p w14:paraId="0387D8C9" w14:textId="77777777" w:rsidR="00A15718" w:rsidRPr="00A15718" w:rsidRDefault="00A15718" w:rsidP="00A15718">
      <w:pPr>
        <w:pStyle w:val="ListParagraph"/>
        <w:numPr>
          <w:ilvl w:val="0"/>
          <w:numId w:val="6"/>
        </w:numPr>
        <w:spacing w:after="120" w:line="276" w:lineRule="auto"/>
        <w:contextualSpacing w:val="0"/>
        <w:jc w:val="both"/>
        <w:rPr>
          <w:rFonts w:ascii="Arial" w:hAnsi="Arial" w:cs="Arial"/>
          <w:vanish/>
          <w:sz w:val="24"/>
          <w:szCs w:val="24"/>
        </w:rPr>
      </w:pPr>
    </w:p>
    <w:p w14:paraId="0D94475A"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In 2025, the Trust’s Gender Pay Gap is 26.5% in favour of men, an increase from 23.3% in 2024. Reducing this gap remains a priority, and we recognise that progress will take sustained, long-term action.</w:t>
      </w:r>
    </w:p>
    <w:p w14:paraId="0C82013E" w14:textId="5AF230DB"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 xml:space="preserve">Women make up 78.1% of the workforce, reflecting wider NHS trends. However, men and women are not evenly represented across pay bands. Women are more likely to work in lower-paid roles, while men are often found in higher-paid positions. This distribution is a key driver of the Gender Pay Gap. </w:t>
      </w:r>
    </w:p>
    <w:p w14:paraId="72766E2E" w14:textId="77777777" w:rsidR="00A15718" w:rsidRPr="00A15718" w:rsidRDefault="00A15718" w:rsidP="00A15718">
      <w:pPr>
        <w:spacing w:after="240" w:line="276" w:lineRule="auto"/>
        <w:jc w:val="both"/>
        <w:rPr>
          <w:rFonts w:ascii="Arial" w:hAnsi="Arial" w:cs="Arial"/>
          <w:sz w:val="24"/>
          <w:szCs w:val="24"/>
        </w:rPr>
      </w:pPr>
      <w:r w:rsidRPr="00A15718">
        <w:rPr>
          <w:rFonts w:ascii="Arial" w:hAnsi="Arial" w:cs="Arial"/>
          <w:sz w:val="24"/>
          <w:szCs w:val="24"/>
        </w:rPr>
        <w:lastRenderedPageBreak/>
        <w:t xml:space="preserve">Women may also experience barriers such as career breaks, part-time working, and caring responsibilities. To address these issues, the Trust is committed to improving access to development, progression and leadership opportunities, ensuring that women are supported to move into higher-paid roles. </w:t>
      </w:r>
    </w:p>
    <w:p w14:paraId="07A24FBD" w14:textId="77777777" w:rsidR="00A15718" w:rsidRPr="009E6DA0" w:rsidRDefault="00A15718" w:rsidP="009E6DA0">
      <w:pPr>
        <w:rPr>
          <w:rFonts w:ascii="Arial" w:hAnsi="Arial" w:cs="Arial"/>
          <w:b/>
          <w:bCs/>
          <w:sz w:val="24"/>
          <w:szCs w:val="24"/>
          <w:u w:val="single"/>
        </w:rPr>
      </w:pPr>
      <w:r w:rsidRPr="009E6DA0">
        <w:rPr>
          <w:rFonts w:ascii="Arial" w:hAnsi="Arial" w:cs="Arial"/>
          <w:b/>
          <w:bCs/>
          <w:sz w:val="24"/>
          <w:szCs w:val="24"/>
          <w:u w:val="single"/>
        </w:rPr>
        <w:t>Gloucestershire Hospitals Ethnicity Minority Pay Gap 2025</w:t>
      </w:r>
    </w:p>
    <w:p w14:paraId="78D9AB32" w14:textId="77777777" w:rsidR="00A15718" w:rsidRPr="00A15718" w:rsidRDefault="00A15718" w:rsidP="00A15718">
      <w:pPr>
        <w:pStyle w:val="ListParagraph"/>
        <w:numPr>
          <w:ilvl w:val="0"/>
          <w:numId w:val="6"/>
        </w:numPr>
        <w:spacing w:after="120" w:line="276" w:lineRule="auto"/>
        <w:contextualSpacing w:val="0"/>
        <w:jc w:val="both"/>
        <w:rPr>
          <w:rFonts w:ascii="Arial" w:hAnsi="Arial" w:cs="Arial"/>
          <w:vanish/>
          <w:sz w:val="24"/>
          <w:szCs w:val="24"/>
        </w:rPr>
      </w:pPr>
    </w:p>
    <w:p w14:paraId="51899D71"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Data reported as of 31 March 2025, unless otherwise indicated.</w:t>
      </w:r>
    </w:p>
    <w:p w14:paraId="218BE430"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For this report, the term "Ethnic Minority" (EM) will be used to refer to our Black and Asian staff. This terminology has been chosen for consistency within the report; however, we acknowledge the evolving discussions around language and inclusivity.</w:t>
      </w:r>
    </w:p>
    <w:p w14:paraId="483AD965"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Key Findings from March 2025 are as follows:</w:t>
      </w:r>
    </w:p>
    <w:p w14:paraId="14B2D62E" w14:textId="77777777" w:rsidR="00A15718" w:rsidRPr="00A15718" w:rsidRDefault="00A15718" w:rsidP="00A15718">
      <w:pPr>
        <w:pStyle w:val="ListParagraph"/>
        <w:numPr>
          <w:ilvl w:val="1"/>
          <w:numId w:val="12"/>
        </w:numPr>
        <w:spacing w:line="276" w:lineRule="auto"/>
        <w:jc w:val="both"/>
        <w:rPr>
          <w:rFonts w:ascii="Arial" w:hAnsi="Arial" w:cs="Arial"/>
          <w:sz w:val="24"/>
          <w:szCs w:val="24"/>
        </w:rPr>
      </w:pPr>
      <w:r w:rsidRPr="00A15718">
        <w:rPr>
          <w:rFonts w:ascii="Arial" w:hAnsi="Arial" w:cs="Arial"/>
          <w:sz w:val="24"/>
          <w:szCs w:val="24"/>
        </w:rPr>
        <w:t>The mean Ethnicity Pay Gap is 1.2% (£0.28) in favour of EM staff, which is a 2% reduction from 3.2% in 2024.</w:t>
      </w:r>
    </w:p>
    <w:p w14:paraId="2BCF5810" w14:textId="77777777" w:rsidR="00A15718" w:rsidRPr="00A15718" w:rsidRDefault="00A15718" w:rsidP="00A15718">
      <w:pPr>
        <w:pStyle w:val="ListParagraph"/>
        <w:numPr>
          <w:ilvl w:val="1"/>
          <w:numId w:val="12"/>
        </w:numPr>
        <w:spacing w:after="120" w:line="276" w:lineRule="auto"/>
        <w:ind w:left="714" w:hanging="357"/>
        <w:contextualSpacing w:val="0"/>
        <w:jc w:val="both"/>
        <w:rPr>
          <w:rFonts w:ascii="Arial" w:hAnsi="Arial" w:cs="Arial"/>
          <w:sz w:val="24"/>
          <w:szCs w:val="24"/>
        </w:rPr>
      </w:pPr>
      <w:r w:rsidRPr="00A15718">
        <w:rPr>
          <w:rFonts w:ascii="Arial" w:hAnsi="Arial" w:cs="Arial"/>
          <w:sz w:val="24"/>
          <w:szCs w:val="24"/>
        </w:rPr>
        <w:t xml:space="preserve">The median Ethnicity Pay Gap is 3.4% (£0.67) in favour of EM staff, which shows a 1.85% reduction from 5.25% in 2024.  </w:t>
      </w:r>
    </w:p>
    <w:p w14:paraId="4C721DE0" w14:textId="77777777" w:rsidR="00A15718" w:rsidRPr="00A15718" w:rsidRDefault="00A15718" w:rsidP="00A15718">
      <w:pPr>
        <w:pStyle w:val="ListParagraph"/>
        <w:numPr>
          <w:ilvl w:val="0"/>
          <w:numId w:val="6"/>
        </w:numPr>
        <w:spacing w:after="120" w:line="276" w:lineRule="auto"/>
        <w:contextualSpacing w:val="0"/>
        <w:jc w:val="both"/>
        <w:rPr>
          <w:rFonts w:ascii="Arial" w:hAnsi="Arial" w:cs="Arial"/>
          <w:vanish/>
          <w:sz w:val="24"/>
          <w:szCs w:val="24"/>
        </w:rPr>
      </w:pPr>
    </w:p>
    <w:p w14:paraId="50F0FFD4" w14:textId="77777777" w:rsidR="00A15718" w:rsidRPr="00A15718" w:rsidRDefault="00A15718" w:rsidP="00A15718">
      <w:pPr>
        <w:pStyle w:val="ListParagraph"/>
        <w:numPr>
          <w:ilvl w:val="1"/>
          <w:numId w:val="6"/>
        </w:numPr>
        <w:spacing w:after="120" w:line="276" w:lineRule="auto"/>
        <w:ind w:left="709"/>
        <w:jc w:val="both"/>
        <w:rPr>
          <w:rFonts w:ascii="Arial" w:hAnsi="Arial" w:cs="Arial"/>
          <w:sz w:val="24"/>
          <w:szCs w:val="24"/>
        </w:rPr>
      </w:pPr>
      <w:r w:rsidRPr="00A15718">
        <w:rPr>
          <w:rFonts w:ascii="Arial" w:hAnsi="Arial" w:cs="Arial"/>
          <w:sz w:val="24"/>
          <w:szCs w:val="24"/>
        </w:rPr>
        <w:t>As of March 2025, 23.7% of staff at GHNHSFT identified as being from an EM background, 66.1% of the workforce is White, and 10.18% had their ethnicity recorded as unknown.</w:t>
      </w:r>
    </w:p>
    <w:p w14:paraId="48933F9B" w14:textId="77777777" w:rsidR="00A15718" w:rsidRPr="00A15718" w:rsidRDefault="00A15718" w:rsidP="00A15718">
      <w:pPr>
        <w:pStyle w:val="ListParagraph"/>
        <w:numPr>
          <w:ilvl w:val="1"/>
          <w:numId w:val="6"/>
        </w:numPr>
        <w:spacing w:line="276" w:lineRule="auto"/>
        <w:ind w:left="709"/>
        <w:contextualSpacing w:val="0"/>
        <w:jc w:val="both"/>
        <w:rPr>
          <w:rFonts w:ascii="Arial" w:hAnsi="Arial" w:cs="Arial"/>
          <w:sz w:val="24"/>
          <w:szCs w:val="24"/>
        </w:rPr>
      </w:pPr>
      <w:r w:rsidRPr="00A15718">
        <w:rPr>
          <w:rFonts w:ascii="Arial" w:hAnsi="Arial" w:cs="Arial"/>
          <w:sz w:val="24"/>
          <w:szCs w:val="24"/>
        </w:rPr>
        <w:t>The table below shows the average and median hourly rates for different ethnic origins groups as follows.</w:t>
      </w:r>
    </w:p>
    <w:p w14:paraId="53FC041C" w14:textId="77777777" w:rsidR="00A15718" w:rsidRPr="00A15718" w:rsidRDefault="00A15718" w:rsidP="00A15718">
      <w:pPr>
        <w:pStyle w:val="ListParagraph"/>
        <w:numPr>
          <w:ilvl w:val="1"/>
          <w:numId w:val="12"/>
        </w:numPr>
        <w:spacing w:line="276" w:lineRule="auto"/>
        <w:jc w:val="both"/>
        <w:rPr>
          <w:rFonts w:ascii="Arial" w:hAnsi="Arial" w:cs="Arial"/>
          <w:sz w:val="24"/>
          <w:szCs w:val="24"/>
        </w:rPr>
      </w:pPr>
      <w:r w:rsidRPr="00A15718">
        <w:rPr>
          <w:rFonts w:ascii="Arial" w:hAnsi="Arial" w:cs="Arial"/>
          <w:sz w:val="24"/>
          <w:szCs w:val="24"/>
        </w:rPr>
        <w:t xml:space="preserve">Please note:  </w:t>
      </w:r>
      <w:r w:rsidRPr="00A15718">
        <w:rPr>
          <w:rStyle w:val="Strong"/>
          <w:rFonts w:ascii="Arial" w:hAnsi="Arial" w:cs="Arial"/>
          <w:sz w:val="24"/>
          <w:szCs w:val="24"/>
        </w:rPr>
        <w:t>NULL -</w:t>
      </w:r>
      <w:r w:rsidRPr="00A15718">
        <w:rPr>
          <w:rFonts w:ascii="Arial" w:hAnsi="Arial" w:cs="Arial"/>
          <w:sz w:val="24"/>
          <w:szCs w:val="24"/>
        </w:rPr>
        <w:t xml:space="preserve"> indicates no data was entered. </w:t>
      </w:r>
      <w:r w:rsidRPr="00A15718">
        <w:rPr>
          <w:rFonts w:ascii="Arial" w:hAnsi="Arial" w:cs="Arial"/>
          <w:b/>
          <w:bCs/>
          <w:sz w:val="24"/>
          <w:szCs w:val="24"/>
        </w:rPr>
        <w:t>Not Stated</w:t>
      </w:r>
      <w:r w:rsidRPr="00A15718">
        <w:rPr>
          <w:rFonts w:ascii="Arial" w:hAnsi="Arial" w:cs="Arial"/>
          <w:sz w:val="24"/>
          <w:szCs w:val="24"/>
        </w:rPr>
        <w:t xml:space="preserve"> - indicates that the person chose not to disclose the information.</w:t>
      </w:r>
    </w:p>
    <w:tbl>
      <w:tblPr>
        <w:tblpPr w:leftFromText="180" w:rightFromText="180" w:vertAnchor="text" w:horzAnchor="margin" w:tblpXSpec="center" w:tblpY="217"/>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10"/>
        <w:gridCol w:w="1693"/>
        <w:gridCol w:w="2005"/>
        <w:gridCol w:w="2003"/>
        <w:gridCol w:w="2005"/>
      </w:tblGrid>
      <w:tr w:rsidR="00A15718" w:rsidRPr="00A15718" w14:paraId="65F5482E" w14:textId="77777777" w:rsidTr="0081318F">
        <w:trPr>
          <w:trHeight w:val="286"/>
        </w:trPr>
        <w:tc>
          <w:tcPr>
            <w:tcW w:w="685" w:type="pct"/>
            <w:shd w:val="clear" w:color="auto" w:fill="0070C0"/>
            <w:vAlign w:val="center"/>
            <w:hideMark/>
          </w:tcPr>
          <w:p w14:paraId="77F4E52A"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Ethnic Origin Grouping Summary</w:t>
            </w:r>
          </w:p>
          <w:p w14:paraId="0908695B" w14:textId="77777777" w:rsidR="00A15718" w:rsidRPr="00A15718" w:rsidRDefault="00A15718" w:rsidP="0081318F">
            <w:pPr>
              <w:spacing w:after="0" w:line="240" w:lineRule="auto"/>
              <w:rPr>
                <w:rFonts w:ascii="Arial" w:eastAsia="Times New Roman" w:hAnsi="Arial" w:cs="Arial"/>
                <w:b/>
                <w:bCs/>
                <w:color w:val="FFFFFF"/>
                <w:sz w:val="24"/>
                <w:szCs w:val="24"/>
              </w:rPr>
            </w:pPr>
          </w:p>
        </w:tc>
        <w:tc>
          <w:tcPr>
            <w:tcW w:w="949" w:type="pct"/>
            <w:shd w:val="clear" w:color="auto" w:fill="0070C0"/>
            <w:vAlign w:val="center"/>
            <w:hideMark/>
          </w:tcPr>
          <w:p w14:paraId="22BE8D85"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Mean Hourly Rate 2025</w:t>
            </w:r>
          </w:p>
        </w:tc>
        <w:tc>
          <w:tcPr>
            <w:tcW w:w="1122" w:type="pct"/>
            <w:shd w:val="clear" w:color="auto" w:fill="0070C0"/>
            <w:vAlign w:val="center"/>
          </w:tcPr>
          <w:p w14:paraId="0347E968"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Change since 2024</w:t>
            </w:r>
          </w:p>
        </w:tc>
        <w:tc>
          <w:tcPr>
            <w:tcW w:w="1121" w:type="pct"/>
            <w:shd w:val="clear" w:color="auto" w:fill="0070C0"/>
            <w:vAlign w:val="center"/>
            <w:hideMark/>
          </w:tcPr>
          <w:p w14:paraId="78D1F632"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Median Hourly Rate 2025</w:t>
            </w:r>
          </w:p>
        </w:tc>
        <w:tc>
          <w:tcPr>
            <w:tcW w:w="1122" w:type="pct"/>
            <w:shd w:val="clear" w:color="auto" w:fill="0070C0"/>
            <w:vAlign w:val="center"/>
          </w:tcPr>
          <w:p w14:paraId="29DEDDF2"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Change since 2024</w:t>
            </w:r>
          </w:p>
        </w:tc>
      </w:tr>
      <w:tr w:rsidR="00A15718" w:rsidRPr="00A15718" w14:paraId="0979A214" w14:textId="77777777" w:rsidTr="0081318F">
        <w:trPr>
          <w:trHeight w:val="286"/>
        </w:trPr>
        <w:tc>
          <w:tcPr>
            <w:tcW w:w="685" w:type="pct"/>
            <w:vAlign w:val="center"/>
            <w:hideMark/>
          </w:tcPr>
          <w:p w14:paraId="0DDF008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EM</w:t>
            </w:r>
          </w:p>
        </w:tc>
        <w:tc>
          <w:tcPr>
            <w:tcW w:w="949" w:type="pct"/>
            <w:shd w:val="clear" w:color="000000" w:fill="FFFFFF"/>
            <w:vAlign w:val="center"/>
          </w:tcPr>
          <w:p w14:paraId="3F24F405" w14:textId="77777777" w:rsidR="00A15718" w:rsidRPr="00A15718" w:rsidRDefault="00A15718" w:rsidP="0081318F">
            <w:pPr>
              <w:spacing w:after="0" w:line="240" w:lineRule="auto"/>
              <w:rPr>
                <w:rFonts w:ascii="Arial" w:eastAsia="Times New Roman" w:hAnsi="Arial" w:cs="Arial"/>
                <w:i/>
                <w:iCs/>
                <w:color w:val="000000"/>
                <w:sz w:val="24"/>
                <w:szCs w:val="24"/>
              </w:rPr>
            </w:pPr>
            <w:r w:rsidRPr="00A15718">
              <w:rPr>
                <w:rFonts w:ascii="Arial" w:eastAsia="Times New Roman" w:hAnsi="Arial" w:cs="Arial"/>
                <w:color w:val="000000"/>
                <w:sz w:val="24"/>
                <w:szCs w:val="24"/>
              </w:rPr>
              <w:t xml:space="preserve">£23.54 </w:t>
            </w:r>
          </w:p>
        </w:tc>
        <w:tc>
          <w:tcPr>
            <w:tcW w:w="1122" w:type="pct"/>
            <w:shd w:val="clear" w:color="000000" w:fill="FFFFFF"/>
            <w:vAlign w:val="center"/>
          </w:tcPr>
          <w:p w14:paraId="07B232A5"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£1.36 since 2024</w:t>
            </w:r>
          </w:p>
        </w:tc>
        <w:tc>
          <w:tcPr>
            <w:tcW w:w="1121" w:type="pct"/>
            <w:shd w:val="clear" w:color="000000" w:fill="FFFFFF"/>
            <w:vAlign w:val="center"/>
          </w:tcPr>
          <w:p w14:paraId="5A4D9AB6" w14:textId="77777777" w:rsidR="00A15718" w:rsidRPr="00A15718" w:rsidRDefault="00A15718" w:rsidP="0081318F">
            <w:pPr>
              <w:spacing w:after="0" w:line="240" w:lineRule="auto"/>
              <w:rPr>
                <w:rFonts w:ascii="Arial" w:eastAsia="Times New Roman" w:hAnsi="Arial" w:cs="Arial"/>
                <w:i/>
                <w:iCs/>
                <w:color w:val="000000"/>
                <w:sz w:val="24"/>
                <w:szCs w:val="24"/>
              </w:rPr>
            </w:pPr>
            <w:r w:rsidRPr="00A15718">
              <w:rPr>
                <w:rFonts w:ascii="Arial" w:eastAsia="Times New Roman" w:hAnsi="Arial" w:cs="Arial"/>
                <w:color w:val="000000"/>
                <w:sz w:val="24"/>
                <w:szCs w:val="24"/>
              </w:rPr>
              <w:t xml:space="preserve">£20.46 </w:t>
            </w:r>
          </w:p>
        </w:tc>
        <w:tc>
          <w:tcPr>
            <w:tcW w:w="1122" w:type="pct"/>
            <w:shd w:val="clear" w:color="000000" w:fill="FFFFFF"/>
            <w:vAlign w:val="center"/>
          </w:tcPr>
          <w:p w14:paraId="6E352FD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£0.98 since 2024</w:t>
            </w:r>
          </w:p>
        </w:tc>
      </w:tr>
      <w:tr w:rsidR="00A15718" w:rsidRPr="00A15718" w14:paraId="422A08BA" w14:textId="77777777" w:rsidTr="0081318F">
        <w:trPr>
          <w:trHeight w:val="286"/>
        </w:trPr>
        <w:tc>
          <w:tcPr>
            <w:tcW w:w="685" w:type="pct"/>
            <w:vAlign w:val="center"/>
            <w:hideMark/>
          </w:tcPr>
          <w:p w14:paraId="1A4B91B0"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NULL</w:t>
            </w:r>
          </w:p>
        </w:tc>
        <w:tc>
          <w:tcPr>
            <w:tcW w:w="949" w:type="pct"/>
            <w:shd w:val="clear" w:color="000000" w:fill="FFFFFF"/>
            <w:vAlign w:val="center"/>
          </w:tcPr>
          <w:p w14:paraId="6020DE2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£22.58</w:t>
            </w:r>
          </w:p>
        </w:tc>
        <w:tc>
          <w:tcPr>
            <w:tcW w:w="1122" w:type="pct"/>
            <w:shd w:val="clear" w:color="000000" w:fill="FFFFFF"/>
            <w:vAlign w:val="center"/>
          </w:tcPr>
          <w:p w14:paraId="67F7A0D6"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£3.73 since 2024</w:t>
            </w:r>
          </w:p>
        </w:tc>
        <w:tc>
          <w:tcPr>
            <w:tcW w:w="1121" w:type="pct"/>
            <w:shd w:val="clear" w:color="000000" w:fill="FFFFFF"/>
            <w:vAlign w:val="center"/>
          </w:tcPr>
          <w:p w14:paraId="21E218B2"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£19.05</w:t>
            </w:r>
          </w:p>
        </w:tc>
        <w:tc>
          <w:tcPr>
            <w:tcW w:w="1122" w:type="pct"/>
            <w:shd w:val="clear" w:color="000000" w:fill="FFFFFF"/>
            <w:vAlign w:val="center"/>
          </w:tcPr>
          <w:p w14:paraId="79DA2E2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£2.94 since 2024</w:t>
            </w:r>
          </w:p>
        </w:tc>
      </w:tr>
      <w:tr w:rsidR="00A15718" w:rsidRPr="00A15718" w14:paraId="1E912584" w14:textId="77777777" w:rsidTr="0081318F">
        <w:trPr>
          <w:trHeight w:val="286"/>
        </w:trPr>
        <w:tc>
          <w:tcPr>
            <w:tcW w:w="685" w:type="pct"/>
            <w:vAlign w:val="center"/>
            <w:hideMark/>
          </w:tcPr>
          <w:p w14:paraId="619DB0F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Not Stated</w:t>
            </w:r>
          </w:p>
        </w:tc>
        <w:tc>
          <w:tcPr>
            <w:tcW w:w="949" w:type="pct"/>
            <w:shd w:val="clear" w:color="000000" w:fill="FFFFFF"/>
            <w:vAlign w:val="center"/>
          </w:tcPr>
          <w:p w14:paraId="799BEFE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£23.13</w:t>
            </w:r>
          </w:p>
        </w:tc>
        <w:tc>
          <w:tcPr>
            <w:tcW w:w="1122" w:type="pct"/>
            <w:shd w:val="clear" w:color="000000" w:fill="FFFFFF"/>
            <w:vAlign w:val="center"/>
          </w:tcPr>
          <w:p w14:paraId="6E4FD692"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£2.37 since 2024</w:t>
            </w:r>
          </w:p>
        </w:tc>
        <w:tc>
          <w:tcPr>
            <w:tcW w:w="1121" w:type="pct"/>
            <w:shd w:val="clear" w:color="000000" w:fill="FFFFFF"/>
            <w:vAlign w:val="center"/>
          </w:tcPr>
          <w:p w14:paraId="07E794E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£21.01</w:t>
            </w:r>
          </w:p>
        </w:tc>
        <w:tc>
          <w:tcPr>
            <w:tcW w:w="1122" w:type="pct"/>
            <w:shd w:val="clear" w:color="000000" w:fill="FFFFFF"/>
            <w:vAlign w:val="center"/>
          </w:tcPr>
          <w:p w14:paraId="5A48311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£2.03 since 2024</w:t>
            </w:r>
          </w:p>
        </w:tc>
      </w:tr>
      <w:tr w:rsidR="00A15718" w:rsidRPr="00A15718" w14:paraId="5C9C073D" w14:textId="77777777" w:rsidTr="0081318F">
        <w:trPr>
          <w:trHeight w:val="286"/>
        </w:trPr>
        <w:tc>
          <w:tcPr>
            <w:tcW w:w="685" w:type="pct"/>
            <w:vAlign w:val="center"/>
            <w:hideMark/>
          </w:tcPr>
          <w:p w14:paraId="4158F5B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Other</w:t>
            </w:r>
          </w:p>
        </w:tc>
        <w:tc>
          <w:tcPr>
            <w:tcW w:w="949" w:type="pct"/>
            <w:shd w:val="clear" w:color="000000" w:fill="FFFFFF"/>
            <w:vAlign w:val="center"/>
          </w:tcPr>
          <w:p w14:paraId="0CD7799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£24.69</w:t>
            </w:r>
          </w:p>
        </w:tc>
        <w:tc>
          <w:tcPr>
            <w:tcW w:w="1122" w:type="pct"/>
            <w:shd w:val="clear" w:color="000000" w:fill="FFFFFF"/>
            <w:vAlign w:val="center"/>
          </w:tcPr>
          <w:p w14:paraId="4160AFAF"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£0.37 since 2024</w:t>
            </w:r>
          </w:p>
        </w:tc>
        <w:tc>
          <w:tcPr>
            <w:tcW w:w="1121" w:type="pct"/>
            <w:shd w:val="clear" w:color="000000" w:fill="FFFFFF"/>
            <w:vAlign w:val="center"/>
          </w:tcPr>
          <w:p w14:paraId="3540A2E5"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£21.82</w:t>
            </w:r>
          </w:p>
        </w:tc>
        <w:tc>
          <w:tcPr>
            <w:tcW w:w="1122" w:type="pct"/>
            <w:shd w:val="clear" w:color="000000" w:fill="FFFFFF"/>
            <w:vAlign w:val="center"/>
          </w:tcPr>
          <w:p w14:paraId="0BB5E843"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£0.02 since 2024</w:t>
            </w:r>
          </w:p>
        </w:tc>
      </w:tr>
      <w:tr w:rsidR="00A15718" w:rsidRPr="00A15718" w14:paraId="2FE8AC97" w14:textId="77777777" w:rsidTr="0081318F">
        <w:trPr>
          <w:trHeight w:val="286"/>
        </w:trPr>
        <w:tc>
          <w:tcPr>
            <w:tcW w:w="685" w:type="pct"/>
            <w:vAlign w:val="center"/>
            <w:hideMark/>
          </w:tcPr>
          <w:p w14:paraId="68CE9223"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White</w:t>
            </w:r>
          </w:p>
        </w:tc>
        <w:tc>
          <w:tcPr>
            <w:tcW w:w="949" w:type="pct"/>
            <w:shd w:val="clear" w:color="000000" w:fill="FFFFFF"/>
            <w:vAlign w:val="center"/>
          </w:tcPr>
          <w:p w14:paraId="57C946E5"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£23.26</w:t>
            </w:r>
          </w:p>
        </w:tc>
        <w:tc>
          <w:tcPr>
            <w:tcW w:w="1122" w:type="pct"/>
            <w:shd w:val="clear" w:color="000000" w:fill="FFFFFF"/>
            <w:vAlign w:val="center"/>
          </w:tcPr>
          <w:p w14:paraId="5FB1948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£1.77 since 2024</w:t>
            </w:r>
          </w:p>
        </w:tc>
        <w:tc>
          <w:tcPr>
            <w:tcW w:w="1121" w:type="pct"/>
            <w:shd w:val="clear" w:color="000000" w:fill="FFFFFF"/>
            <w:vAlign w:val="center"/>
          </w:tcPr>
          <w:p w14:paraId="3A9C2157"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£19.79</w:t>
            </w:r>
          </w:p>
        </w:tc>
        <w:tc>
          <w:tcPr>
            <w:tcW w:w="1122" w:type="pct"/>
            <w:shd w:val="clear" w:color="000000" w:fill="FFFFFF"/>
            <w:vAlign w:val="center"/>
          </w:tcPr>
          <w:p w14:paraId="12B7CAB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£1.29 since 2024</w:t>
            </w:r>
          </w:p>
        </w:tc>
      </w:tr>
    </w:tbl>
    <w:p w14:paraId="364261E2" w14:textId="77777777" w:rsidR="00A15718" w:rsidRPr="00A15718" w:rsidRDefault="00A15718" w:rsidP="00A15718">
      <w:pPr>
        <w:spacing w:before="120" w:line="276" w:lineRule="auto"/>
        <w:jc w:val="both"/>
        <w:rPr>
          <w:rFonts w:ascii="Arial" w:hAnsi="Arial" w:cs="Arial"/>
          <w:sz w:val="24"/>
          <w:szCs w:val="24"/>
        </w:rPr>
      </w:pPr>
      <w:r w:rsidRPr="00A15718">
        <w:rPr>
          <w:rFonts w:ascii="Arial" w:hAnsi="Arial" w:cs="Arial"/>
          <w:sz w:val="24"/>
          <w:szCs w:val="24"/>
        </w:rPr>
        <w:lastRenderedPageBreak/>
        <w:t xml:space="preserve">This shows that our EM staff earn a mean hourly rate of £23.54, whilst White staff earn a mean hourly rate of £23.26. This gives a difference of £0.28, representing a pay gap of 1.2% in favour of EM staff. </w:t>
      </w:r>
    </w:p>
    <w:p w14:paraId="2BB1E6DB"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 xml:space="preserve">The median hourly rate for EM staff is £20.46, compared to a median hourly rate of £19.79 for White staff. This gives a difference of £0.67 and a pay gap of 3.4% in favour of EM staff. </w:t>
      </w:r>
    </w:p>
    <w:p w14:paraId="62F22B89"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The mean hourly rate for NULL is £23.85 and the median is £20.66.</w:t>
      </w:r>
    </w:p>
    <w:p w14:paraId="7F7D07A6"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The mean hourly rate for Not Stated is £23.13 and the median is £21.01.</w:t>
      </w:r>
    </w:p>
    <w:p w14:paraId="7A9B662F"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The mean hourly rate for Other is £24.69 and the median is £21.82</w:t>
      </w:r>
    </w:p>
    <w:p w14:paraId="36AC1515"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 xml:space="preserve">Staff who declare their ethnicity in the ‘Other’ category earn the highest on average, with those not stating their ethnicity the earning the lowest on average. </w:t>
      </w:r>
    </w:p>
    <w:p w14:paraId="1D6E6CF1"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Pay Quartiles</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97"/>
        <w:gridCol w:w="780"/>
        <w:gridCol w:w="769"/>
        <w:gridCol w:w="803"/>
        <w:gridCol w:w="768"/>
        <w:gridCol w:w="1250"/>
        <w:gridCol w:w="769"/>
        <w:gridCol w:w="1492"/>
        <w:gridCol w:w="1388"/>
      </w:tblGrid>
      <w:tr w:rsidR="00A15718" w:rsidRPr="00A15718" w14:paraId="57E4B2A9" w14:textId="77777777" w:rsidTr="00A15718">
        <w:trPr>
          <w:trHeight w:val="300"/>
        </w:trPr>
        <w:tc>
          <w:tcPr>
            <w:tcW w:w="563" w:type="pct"/>
            <w:tcBorders>
              <w:right w:val="nil"/>
            </w:tcBorders>
            <w:shd w:val="clear" w:color="auto" w:fill="0070C0"/>
            <w:vAlign w:val="center"/>
            <w:hideMark/>
          </w:tcPr>
          <w:p w14:paraId="525A9CA4"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Quartile</w:t>
            </w:r>
          </w:p>
          <w:p w14:paraId="79381FAC" w14:textId="77777777" w:rsidR="00A15718" w:rsidRPr="00A15718" w:rsidRDefault="00A15718" w:rsidP="0081318F">
            <w:pPr>
              <w:spacing w:after="0" w:line="240" w:lineRule="auto"/>
              <w:rPr>
                <w:rFonts w:ascii="Arial" w:eastAsia="Times New Roman" w:hAnsi="Arial" w:cs="Arial"/>
                <w:b/>
                <w:bCs/>
                <w:color w:val="FFFFFF"/>
                <w:sz w:val="24"/>
                <w:szCs w:val="24"/>
              </w:rPr>
            </w:pPr>
          </w:p>
          <w:p w14:paraId="7923F4C7" w14:textId="77777777" w:rsidR="00A15718" w:rsidRPr="00A15718" w:rsidRDefault="00A15718" w:rsidP="0081318F">
            <w:pPr>
              <w:spacing w:after="0" w:line="240" w:lineRule="auto"/>
              <w:rPr>
                <w:rFonts w:ascii="Arial" w:eastAsia="Times New Roman" w:hAnsi="Arial" w:cs="Arial"/>
                <w:b/>
                <w:bCs/>
                <w:color w:val="FFFFFF"/>
                <w:sz w:val="24"/>
                <w:szCs w:val="24"/>
              </w:rPr>
            </w:pPr>
          </w:p>
        </w:tc>
        <w:tc>
          <w:tcPr>
            <w:tcW w:w="424" w:type="pct"/>
            <w:tcBorders>
              <w:top w:val="nil"/>
              <w:left w:val="nil"/>
              <w:bottom w:val="nil"/>
              <w:right w:val="single" w:sz="4" w:space="0" w:color="0070C0"/>
            </w:tcBorders>
            <w:shd w:val="clear" w:color="auto" w:fill="0070C0"/>
            <w:noWrap/>
            <w:vAlign w:val="center"/>
            <w:hideMark/>
          </w:tcPr>
          <w:p w14:paraId="73727AB0"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Asian</w:t>
            </w:r>
          </w:p>
        </w:tc>
        <w:tc>
          <w:tcPr>
            <w:tcW w:w="426" w:type="pct"/>
            <w:tcBorders>
              <w:top w:val="nil"/>
              <w:left w:val="single" w:sz="4" w:space="0" w:color="0070C0"/>
              <w:bottom w:val="nil"/>
              <w:right w:val="nil"/>
            </w:tcBorders>
            <w:shd w:val="clear" w:color="auto" w:fill="0070C0"/>
            <w:noWrap/>
            <w:vAlign w:val="center"/>
            <w:hideMark/>
          </w:tcPr>
          <w:p w14:paraId="09D9B0A5"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Black</w:t>
            </w:r>
          </w:p>
        </w:tc>
        <w:tc>
          <w:tcPr>
            <w:tcW w:w="444" w:type="pct"/>
            <w:tcBorders>
              <w:left w:val="nil"/>
            </w:tcBorders>
            <w:shd w:val="clear" w:color="auto" w:fill="0070C0"/>
            <w:noWrap/>
            <w:vAlign w:val="center"/>
            <w:hideMark/>
          </w:tcPr>
          <w:p w14:paraId="7F5A6368"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Mixed</w:t>
            </w:r>
          </w:p>
        </w:tc>
        <w:tc>
          <w:tcPr>
            <w:tcW w:w="412" w:type="pct"/>
            <w:shd w:val="clear" w:color="auto" w:fill="0070C0"/>
            <w:noWrap/>
            <w:vAlign w:val="center"/>
            <w:hideMark/>
          </w:tcPr>
          <w:p w14:paraId="49A49932"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NULL</w:t>
            </w:r>
          </w:p>
        </w:tc>
        <w:tc>
          <w:tcPr>
            <w:tcW w:w="699" w:type="pct"/>
            <w:shd w:val="clear" w:color="auto" w:fill="0070C0"/>
            <w:noWrap/>
            <w:vAlign w:val="center"/>
            <w:hideMark/>
          </w:tcPr>
          <w:p w14:paraId="4A95FC4A"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Not Stated</w:t>
            </w:r>
          </w:p>
        </w:tc>
        <w:tc>
          <w:tcPr>
            <w:tcW w:w="431" w:type="pct"/>
            <w:shd w:val="clear" w:color="auto" w:fill="0070C0"/>
            <w:noWrap/>
            <w:vAlign w:val="center"/>
            <w:hideMark/>
          </w:tcPr>
          <w:p w14:paraId="76FC76A6"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Other</w:t>
            </w:r>
          </w:p>
        </w:tc>
        <w:tc>
          <w:tcPr>
            <w:tcW w:w="822" w:type="pct"/>
            <w:shd w:val="clear" w:color="auto" w:fill="0070C0"/>
            <w:noWrap/>
            <w:vAlign w:val="center"/>
            <w:hideMark/>
          </w:tcPr>
          <w:p w14:paraId="4E60C15B"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White British</w:t>
            </w:r>
          </w:p>
        </w:tc>
        <w:tc>
          <w:tcPr>
            <w:tcW w:w="778" w:type="pct"/>
            <w:shd w:val="clear" w:color="auto" w:fill="0070C0"/>
            <w:noWrap/>
            <w:vAlign w:val="center"/>
            <w:hideMark/>
          </w:tcPr>
          <w:p w14:paraId="70E68E0E"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White Other</w:t>
            </w:r>
          </w:p>
        </w:tc>
      </w:tr>
      <w:tr w:rsidR="00A15718" w:rsidRPr="00A15718" w14:paraId="6FE86D4F" w14:textId="77777777" w:rsidTr="00A15718">
        <w:trPr>
          <w:trHeight w:val="300"/>
        </w:trPr>
        <w:tc>
          <w:tcPr>
            <w:tcW w:w="563" w:type="pct"/>
            <w:shd w:val="clear" w:color="auto" w:fill="0070C0"/>
            <w:vAlign w:val="center"/>
            <w:hideMark/>
          </w:tcPr>
          <w:p w14:paraId="7BA6D5BB"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1</w:t>
            </w:r>
          </w:p>
        </w:tc>
        <w:tc>
          <w:tcPr>
            <w:tcW w:w="424" w:type="pct"/>
            <w:tcBorders>
              <w:top w:val="nil"/>
            </w:tcBorders>
            <w:shd w:val="clear" w:color="000000" w:fill="FFFFFF"/>
            <w:vAlign w:val="center"/>
          </w:tcPr>
          <w:p w14:paraId="4A626D0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197</w:t>
            </w:r>
          </w:p>
        </w:tc>
        <w:tc>
          <w:tcPr>
            <w:tcW w:w="426" w:type="pct"/>
            <w:tcBorders>
              <w:top w:val="nil"/>
            </w:tcBorders>
            <w:shd w:val="clear" w:color="000000" w:fill="FFFFFF"/>
            <w:vAlign w:val="center"/>
          </w:tcPr>
          <w:p w14:paraId="3CFE9152"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115</w:t>
            </w:r>
          </w:p>
        </w:tc>
        <w:tc>
          <w:tcPr>
            <w:tcW w:w="444" w:type="pct"/>
            <w:shd w:val="clear" w:color="000000" w:fill="FFFFFF"/>
            <w:vAlign w:val="center"/>
          </w:tcPr>
          <w:p w14:paraId="0D19CB76"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50</w:t>
            </w:r>
          </w:p>
        </w:tc>
        <w:tc>
          <w:tcPr>
            <w:tcW w:w="412" w:type="pct"/>
            <w:shd w:val="clear" w:color="000000" w:fill="FFFFFF"/>
            <w:vAlign w:val="center"/>
          </w:tcPr>
          <w:p w14:paraId="319F2B16"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77</w:t>
            </w:r>
          </w:p>
        </w:tc>
        <w:tc>
          <w:tcPr>
            <w:tcW w:w="699" w:type="pct"/>
            <w:shd w:val="clear" w:color="000000" w:fill="FFFFFF"/>
            <w:vAlign w:val="center"/>
          </w:tcPr>
          <w:p w14:paraId="4244ADD4"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88</w:t>
            </w:r>
          </w:p>
        </w:tc>
        <w:tc>
          <w:tcPr>
            <w:tcW w:w="431" w:type="pct"/>
            <w:shd w:val="clear" w:color="000000" w:fill="FFFFFF"/>
            <w:vAlign w:val="center"/>
          </w:tcPr>
          <w:p w14:paraId="5FCD78C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25</w:t>
            </w:r>
          </w:p>
        </w:tc>
        <w:tc>
          <w:tcPr>
            <w:tcW w:w="822" w:type="pct"/>
            <w:shd w:val="clear" w:color="000000" w:fill="FFFFFF"/>
            <w:vAlign w:val="center"/>
          </w:tcPr>
          <w:p w14:paraId="689E5CAD"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1,653</w:t>
            </w:r>
          </w:p>
        </w:tc>
        <w:tc>
          <w:tcPr>
            <w:tcW w:w="778" w:type="pct"/>
            <w:shd w:val="clear" w:color="000000" w:fill="FFFFFF"/>
            <w:vAlign w:val="center"/>
          </w:tcPr>
          <w:p w14:paraId="1E564D83"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119</w:t>
            </w:r>
          </w:p>
        </w:tc>
      </w:tr>
      <w:tr w:rsidR="00A15718" w:rsidRPr="00A15718" w14:paraId="15AB27F4" w14:textId="77777777" w:rsidTr="00A15718">
        <w:trPr>
          <w:trHeight w:val="300"/>
        </w:trPr>
        <w:tc>
          <w:tcPr>
            <w:tcW w:w="563" w:type="pct"/>
            <w:shd w:val="clear" w:color="auto" w:fill="0070C0"/>
            <w:vAlign w:val="center"/>
            <w:hideMark/>
          </w:tcPr>
          <w:p w14:paraId="42B65DEB"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2</w:t>
            </w:r>
          </w:p>
        </w:tc>
        <w:tc>
          <w:tcPr>
            <w:tcW w:w="424" w:type="pct"/>
            <w:shd w:val="clear" w:color="000000" w:fill="FFFFFF"/>
            <w:vAlign w:val="center"/>
          </w:tcPr>
          <w:p w14:paraId="693DE1B3"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436</w:t>
            </w:r>
          </w:p>
        </w:tc>
        <w:tc>
          <w:tcPr>
            <w:tcW w:w="426" w:type="pct"/>
            <w:shd w:val="clear" w:color="000000" w:fill="FFFFFF"/>
            <w:vAlign w:val="center"/>
          </w:tcPr>
          <w:p w14:paraId="06088E5C"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139</w:t>
            </w:r>
          </w:p>
        </w:tc>
        <w:tc>
          <w:tcPr>
            <w:tcW w:w="444" w:type="pct"/>
            <w:shd w:val="clear" w:color="000000" w:fill="FFFFFF"/>
            <w:vAlign w:val="center"/>
          </w:tcPr>
          <w:p w14:paraId="114A1C57"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44</w:t>
            </w:r>
          </w:p>
        </w:tc>
        <w:tc>
          <w:tcPr>
            <w:tcW w:w="412" w:type="pct"/>
            <w:shd w:val="clear" w:color="000000" w:fill="FFFFFF"/>
            <w:vAlign w:val="center"/>
          </w:tcPr>
          <w:p w14:paraId="632E02E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170</w:t>
            </w:r>
          </w:p>
        </w:tc>
        <w:tc>
          <w:tcPr>
            <w:tcW w:w="699" w:type="pct"/>
            <w:shd w:val="clear" w:color="000000" w:fill="FFFFFF"/>
            <w:vAlign w:val="center"/>
          </w:tcPr>
          <w:p w14:paraId="77334FA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153</w:t>
            </w:r>
          </w:p>
        </w:tc>
        <w:tc>
          <w:tcPr>
            <w:tcW w:w="431" w:type="pct"/>
            <w:shd w:val="clear" w:color="000000" w:fill="FFFFFF"/>
            <w:vAlign w:val="center"/>
          </w:tcPr>
          <w:p w14:paraId="0684C3A5"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41</w:t>
            </w:r>
          </w:p>
        </w:tc>
        <w:tc>
          <w:tcPr>
            <w:tcW w:w="822" w:type="pct"/>
            <w:shd w:val="clear" w:color="000000" w:fill="FFFFFF"/>
            <w:vAlign w:val="center"/>
          </w:tcPr>
          <w:p w14:paraId="2E52471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1,261</w:t>
            </w:r>
          </w:p>
        </w:tc>
        <w:tc>
          <w:tcPr>
            <w:tcW w:w="778" w:type="pct"/>
            <w:shd w:val="clear" w:color="000000" w:fill="FFFFFF"/>
            <w:vAlign w:val="center"/>
          </w:tcPr>
          <w:p w14:paraId="257F09E4"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125</w:t>
            </w:r>
          </w:p>
        </w:tc>
      </w:tr>
      <w:tr w:rsidR="00A15718" w:rsidRPr="00A15718" w14:paraId="6C63AE69" w14:textId="77777777" w:rsidTr="00A15718">
        <w:trPr>
          <w:trHeight w:val="300"/>
        </w:trPr>
        <w:tc>
          <w:tcPr>
            <w:tcW w:w="563" w:type="pct"/>
            <w:shd w:val="clear" w:color="auto" w:fill="0070C0"/>
            <w:vAlign w:val="center"/>
            <w:hideMark/>
          </w:tcPr>
          <w:p w14:paraId="622870FD"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3</w:t>
            </w:r>
          </w:p>
        </w:tc>
        <w:tc>
          <w:tcPr>
            <w:tcW w:w="424" w:type="pct"/>
            <w:shd w:val="clear" w:color="000000" w:fill="FFFFFF"/>
            <w:vAlign w:val="center"/>
          </w:tcPr>
          <w:p w14:paraId="44838056"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423</w:t>
            </w:r>
          </w:p>
        </w:tc>
        <w:tc>
          <w:tcPr>
            <w:tcW w:w="426" w:type="pct"/>
            <w:shd w:val="clear" w:color="000000" w:fill="FFFFFF"/>
            <w:vAlign w:val="center"/>
          </w:tcPr>
          <w:p w14:paraId="03DF48B3"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121</w:t>
            </w:r>
          </w:p>
        </w:tc>
        <w:tc>
          <w:tcPr>
            <w:tcW w:w="444" w:type="pct"/>
            <w:shd w:val="clear" w:color="000000" w:fill="FFFFFF"/>
            <w:vAlign w:val="center"/>
          </w:tcPr>
          <w:p w14:paraId="27F4AC42"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29</w:t>
            </w:r>
          </w:p>
        </w:tc>
        <w:tc>
          <w:tcPr>
            <w:tcW w:w="412" w:type="pct"/>
            <w:shd w:val="clear" w:color="000000" w:fill="FFFFFF"/>
            <w:vAlign w:val="center"/>
          </w:tcPr>
          <w:p w14:paraId="7081206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73</w:t>
            </w:r>
          </w:p>
        </w:tc>
        <w:tc>
          <w:tcPr>
            <w:tcW w:w="699" w:type="pct"/>
            <w:shd w:val="clear" w:color="000000" w:fill="FFFFFF"/>
            <w:vAlign w:val="center"/>
          </w:tcPr>
          <w:p w14:paraId="24C5647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143</w:t>
            </w:r>
          </w:p>
        </w:tc>
        <w:tc>
          <w:tcPr>
            <w:tcW w:w="431" w:type="pct"/>
            <w:shd w:val="clear" w:color="000000" w:fill="FFFFFF"/>
            <w:vAlign w:val="center"/>
          </w:tcPr>
          <w:p w14:paraId="43AB061D"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48</w:t>
            </w:r>
          </w:p>
        </w:tc>
        <w:tc>
          <w:tcPr>
            <w:tcW w:w="822" w:type="pct"/>
            <w:shd w:val="clear" w:color="000000" w:fill="FFFFFF"/>
            <w:vAlign w:val="center"/>
          </w:tcPr>
          <w:p w14:paraId="13164FD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1,351</w:t>
            </w:r>
          </w:p>
        </w:tc>
        <w:tc>
          <w:tcPr>
            <w:tcW w:w="778" w:type="pct"/>
            <w:shd w:val="clear" w:color="000000" w:fill="FFFFFF"/>
            <w:vAlign w:val="center"/>
          </w:tcPr>
          <w:p w14:paraId="5A00D120"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125</w:t>
            </w:r>
          </w:p>
        </w:tc>
      </w:tr>
      <w:tr w:rsidR="00A15718" w:rsidRPr="00A15718" w14:paraId="6FE3BBAA" w14:textId="77777777" w:rsidTr="00A15718">
        <w:trPr>
          <w:trHeight w:val="300"/>
        </w:trPr>
        <w:tc>
          <w:tcPr>
            <w:tcW w:w="563" w:type="pct"/>
            <w:shd w:val="clear" w:color="auto" w:fill="0070C0"/>
            <w:vAlign w:val="center"/>
            <w:hideMark/>
          </w:tcPr>
          <w:p w14:paraId="4726E0AA"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4</w:t>
            </w:r>
          </w:p>
        </w:tc>
        <w:tc>
          <w:tcPr>
            <w:tcW w:w="424" w:type="pct"/>
            <w:shd w:val="clear" w:color="000000" w:fill="FFFFFF"/>
            <w:vAlign w:val="center"/>
          </w:tcPr>
          <w:p w14:paraId="3985B09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338</w:t>
            </w:r>
          </w:p>
        </w:tc>
        <w:tc>
          <w:tcPr>
            <w:tcW w:w="426" w:type="pct"/>
            <w:shd w:val="clear" w:color="000000" w:fill="FFFFFF"/>
            <w:vAlign w:val="center"/>
          </w:tcPr>
          <w:p w14:paraId="58D4CB6D"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117</w:t>
            </w:r>
          </w:p>
        </w:tc>
        <w:tc>
          <w:tcPr>
            <w:tcW w:w="444" w:type="pct"/>
            <w:shd w:val="clear" w:color="000000" w:fill="FFFFFF"/>
            <w:vAlign w:val="center"/>
          </w:tcPr>
          <w:p w14:paraId="768CF960"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61</w:t>
            </w:r>
          </w:p>
        </w:tc>
        <w:tc>
          <w:tcPr>
            <w:tcW w:w="412" w:type="pct"/>
            <w:shd w:val="clear" w:color="000000" w:fill="FFFFFF"/>
            <w:vAlign w:val="center"/>
          </w:tcPr>
          <w:p w14:paraId="1947BD7B"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110</w:t>
            </w:r>
          </w:p>
        </w:tc>
        <w:tc>
          <w:tcPr>
            <w:tcW w:w="699" w:type="pct"/>
            <w:shd w:val="clear" w:color="000000" w:fill="FFFFFF"/>
            <w:vAlign w:val="center"/>
          </w:tcPr>
          <w:p w14:paraId="703CD6D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142</w:t>
            </w:r>
          </w:p>
        </w:tc>
        <w:tc>
          <w:tcPr>
            <w:tcW w:w="431" w:type="pct"/>
            <w:shd w:val="clear" w:color="000000" w:fill="FFFFFF"/>
            <w:vAlign w:val="center"/>
          </w:tcPr>
          <w:p w14:paraId="690B2164"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45</w:t>
            </w:r>
          </w:p>
        </w:tc>
        <w:tc>
          <w:tcPr>
            <w:tcW w:w="822" w:type="pct"/>
            <w:shd w:val="clear" w:color="000000" w:fill="FFFFFF"/>
            <w:vAlign w:val="center"/>
          </w:tcPr>
          <w:p w14:paraId="6B0CDC2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1,415</w:t>
            </w:r>
          </w:p>
        </w:tc>
        <w:tc>
          <w:tcPr>
            <w:tcW w:w="778" w:type="pct"/>
            <w:shd w:val="clear" w:color="000000" w:fill="FFFFFF"/>
            <w:vAlign w:val="center"/>
          </w:tcPr>
          <w:p w14:paraId="6766DAC6"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155</w:t>
            </w:r>
          </w:p>
        </w:tc>
      </w:tr>
    </w:tbl>
    <w:p w14:paraId="38860A9F" w14:textId="77777777" w:rsidR="00A15718" w:rsidRPr="00A15718" w:rsidRDefault="00A15718" w:rsidP="00A15718">
      <w:pPr>
        <w:spacing w:before="120" w:after="120" w:line="276" w:lineRule="auto"/>
        <w:jc w:val="both"/>
        <w:rPr>
          <w:rFonts w:ascii="Arial" w:hAnsi="Arial" w:cs="Arial"/>
          <w:sz w:val="24"/>
          <w:szCs w:val="24"/>
        </w:rPr>
      </w:pPr>
      <w:r w:rsidRPr="00A15718">
        <w:rPr>
          <w:rFonts w:ascii="Arial" w:hAnsi="Arial" w:cs="Arial"/>
          <w:sz w:val="24"/>
          <w:szCs w:val="24"/>
        </w:rPr>
        <w:t>White British staff are the largest ethnic group across all pay quartiles, with Asian individuals following. Black staff have smaller representation, peaking in Quartile 2, and the Mixed group peaks in Quartile 4.</w:t>
      </w:r>
      <w:r w:rsidRPr="00A15718">
        <w:rPr>
          <w:rFonts w:ascii="Arial" w:hAnsi="Arial" w:cs="Arial"/>
          <w:b/>
          <w:bCs/>
          <w:sz w:val="24"/>
          <w:szCs w:val="24"/>
        </w:rPr>
        <w:t xml:space="preserve"> </w:t>
      </w:r>
      <w:r w:rsidRPr="00A15718">
        <w:rPr>
          <w:rFonts w:ascii="Arial" w:hAnsi="Arial" w:cs="Arial"/>
          <w:sz w:val="24"/>
          <w:szCs w:val="24"/>
        </w:rPr>
        <w:t>A significant number of staff haven't stated their ethnicity, particularly in Quartiles 2, 3 and 4. There are fewer people in the "Other" category, with their numbers remaining relatively consistent across the quartiles 2, 3 and 4.</w:t>
      </w:r>
    </w:p>
    <w:p w14:paraId="3F7F7873"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Ethnicity Local Clinical Excellence Awards Bonus Payments 2025</w:t>
      </w:r>
    </w:p>
    <w:p w14:paraId="183C9784" w14:textId="77777777" w:rsidR="00A15718" w:rsidRPr="00A15718" w:rsidRDefault="00A15718" w:rsidP="00A15718">
      <w:pPr>
        <w:pStyle w:val="ListParagraph"/>
        <w:numPr>
          <w:ilvl w:val="0"/>
          <w:numId w:val="6"/>
        </w:numPr>
        <w:spacing w:before="120" w:after="120" w:line="276" w:lineRule="auto"/>
        <w:contextualSpacing w:val="0"/>
        <w:jc w:val="both"/>
        <w:rPr>
          <w:rFonts w:ascii="Arial" w:eastAsia="Times New Roman" w:hAnsi="Arial" w:cs="Arial"/>
          <w:vanish/>
          <w:sz w:val="24"/>
          <w:szCs w:val="24"/>
        </w:rPr>
      </w:pPr>
      <w:bookmarkStart w:id="7" w:name="_Hlk222139763"/>
    </w:p>
    <w:p w14:paraId="678D5E38" w14:textId="77777777" w:rsidR="00A15718" w:rsidRPr="00A15718" w:rsidRDefault="00A15718" w:rsidP="00A15718">
      <w:pPr>
        <w:spacing w:before="120" w:after="120" w:line="276" w:lineRule="auto"/>
        <w:jc w:val="both"/>
        <w:rPr>
          <w:rFonts w:ascii="Arial" w:eastAsia="Times New Roman" w:hAnsi="Arial" w:cs="Arial"/>
          <w:sz w:val="24"/>
          <w:szCs w:val="24"/>
        </w:rPr>
      </w:pPr>
      <w:r w:rsidRPr="00A15718">
        <w:rPr>
          <w:rFonts w:ascii="Arial" w:eastAsia="Times New Roman" w:hAnsi="Arial" w:cs="Arial"/>
          <w:sz w:val="24"/>
          <w:szCs w:val="24"/>
        </w:rPr>
        <w:t xml:space="preserve">163 </w:t>
      </w:r>
      <w:r w:rsidRPr="00A15718">
        <w:rPr>
          <w:rFonts w:ascii="Arial" w:hAnsi="Arial" w:cs="Arial"/>
          <w:sz w:val="24"/>
          <w:szCs w:val="24"/>
        </w:rPr>
        <w:t>bonus</w:t>
      </w:r>
      <w:r w:rsidRPr="00A15718">
        <w:rPr>
          <w:rFonts w:ascii="Arial" w:eastAsia="Times New Roman" w:hAnsi="Arial" w:cs="Arial"/>
          <w:sz w:val="24"/>
          <w:szCs w:val="24"/>
        </w:rPr>
        <w:t xml:space="preserve"> payments were made to medical and dental staff: in 2025. There are 138 (85%) white consultants, compared to 24 (15%) EM Consultants and 1 (1%) of those did not state their ethnicity</w:t>
      </w:r>
      <w:bookmarkEnd w:id="7"/>
      <w:r w:rsidRPr="00A15718">
        <w:rPr>
          <w:rFonts w:ascii="Arial" w:eastAsia="Times New Roman" w:hAnsi="Arial" w:cs="Arial"/>
          <w:sz w:val="24"/>
          <w:szCs w:val="24"/>
        </w:rPr>
        <w:t xml:space="preserve">. </w:t>
      </w:r>
    </w:p>
    <w:p w14:paraId="79D23F45"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Ethnicity Pay Gap Conclusion</w:t>
      </w:r>
    </w:p>
    <w:p w14:paraId="11D2261E" w14:textId="77777777" w:rsidR="00A15718" w:rsidRPr="00A15718" w:rsidRDefault="00A15718" w:rsidP="00A15718">
      <w:pPr>
        <w:spacing w:before="120" w:line="276" w:lineRule="auto"/>
        <w:jc w:val="both"/>
        <w:rPr>
          <w:rFonts w:ascii="Arial" w:eastAsia="Times New Roman" w:hAnsi="Arial" w:cs="Arial"/>
          <w:sz w:val="24"/>
          <w:szCs w:val="24"/>
        </w:rPr>
      </w:pPr>
      <w:r w:rsidRPr="00A15718">
        <w:rPr>
          <w:rFonts w:ascii="Arial" w:hAnsi="Arial" w:cs="Arial"/>
          <w:bCs/>
          <w:sz w:val="24"/>
          <w:szCs w:val="24"/>
        </w:rPr>
        <w:t xml:space="preserve">The </w:t>
      </w:r>
      <w:r w:rsidRPr="00A15718">
        <w:rPr>
          <w:rFonts w:ascii="Arial" w:eastAsia="Times New Roman" w:hAnsi="Arial" w:cs="Arial"/>
          <w:sz w:val="24"/>
          <w:szCs w:val="24"/>
        </w:rPr>
        <w:t>Ethnicity Pay Gap at March 2025 is 1.2% in favour of ethnic minority (EM) staff. EM staff have a slightly higher average hourly rate than White staff. This may reflect factors such as longer time at the top of pay bands and a higher likelihood of working unsocial hours, which attract enhanced pay.</w:t>
      </w:r>
    </w:p>
    <w:p w14:paraId="460CFDAD" w14:textId="77777777" w:rsidR="00A15718" w:rsidRPr="00A15718" w:rsidRDefault="00A15718" w:rsidP="00A15718">
      <w:pPr>
        <w:spacing w:line="276" w:lineRule="auto"/>
        <w:jc w:val="both"/>
        <w:rPr>
          <w:rFonts w:ascii="Arial" w:eastAsia="Times New Roman" w:hAnsi="Arial" w:cs="Arial"/>
          <w:sz w:val="24"/>
          <w:szCs w:val="24"/>
        </w:rPr>
      </w:pPr>
      <w:r w:rsidRPr="00A15718">
        <w:rPr>
          <w:rFonts w:ascii="Arial" w:eastAsia="Times New Roman" w:hAnsi="Arial" w:cs="Arial"/>
          <w:sz w:val="24"/>
          <w:szCs w:val="24"/>
        </w:rPr>
        <w:t>White staff are more likely to progress into higher</w:t>
      </w:r>
      <w:r w:rsidRPr="00A15718">
        <w:rPr>
          <w:rFonts w:ascii="Arial" w:eastAsia="Times New Roman" w:hAnsi="Arial" w:cs="Arial"/>
          <w:sz w:val="24"/>
          <w:szCs w:val="24"/>
        </w:rPr>
        <w:noBreakHyphen/>
        <w:t>banded roles, though often entering these bands at lower incremental points. The combination of band position and working patterns may help explain the current difference in average pay.</w:t>
      </w:r>
    </w:p>
    <w:p w14:paraId="7B6CB933" w14:textId="77777777" w:rsidR="00A15718" w:rsidRPr="00A15718" w:rsidRDefault="00A15718" w:rsidP="00A15718">
      <w:pPr>
        <w:spacing w:before="120" w:line="276" w:lineRule="auto"/>
        <w:jc w:val="both"/>
        <w:rPr>
          <w:rFonts w:ascii="Arial" w:eastAsia="Times New Roman" w:hAnsi="Arial" w:cs="Arial"/>
          <w:sz w:val="24"/>
          <w:szCs w:val="24"/>
        </w:rPr>
      </w:pPr>
      <w:r w:rsidRPr="00A15718">
        <w:rPr>
          <w:rFonts w:ascii="Arial" w:eastAsia="Times New Roman" w:hAnsi="Arial" w:cs="Arial"/>
          <w:sz w:val="24"/>
          <w:szCs w:val="24"/>
        </w:rPr>
        <w:lastRenderedPageBreak/>
        <w:t>For bonus payments, 85% of consultants receiving awards were White, and 14% were from EM backgrounds, showing that most consultant roles continue to be held by White staff.</w:t>
      </w:r>
    </w:p>
    <w:p w14:paraId="1509D430" w14:textId="77777777" w:rsidR="00A15718" w:rsidRPr="00A15718" w:rsidRDefault="00A15718" w:rsidP="00A15718">
      <w:pPr>
        <w:spacing w:before="120" w:after="240" w:line="276" w:lineRule="auto"/>
        <w:jc w:val="both"/>
        <w:rPr>
          <w:rFonts w:ascii="Arial" w:hAnsi="Arial" w:cs="Arial"/>
          <w:bCs/>
          <w:sz w:val="24"/>
          <w:szCs w:val="24"/>
        </w:rPr>
      </w:pPr>
      <w:r w:rsidRPr="00A15718">
        <w:rPr>
          <w:rFonts w:ascii="Arial" w:eastAsia="Times New Roman" w:hAnsi="Arial" w:cs="Arial"/>
          <w:sz w:val="24"/>
          <w:szCs w:val="24"/>
        </w:rPr>
        <w:t>Further analysis</w:t>
      </w:r>
      <w:r w:rsidRPr="00A15718">
        <w:rPr>
          <w:rFonts w:ascii="Arial" w:hAnsi="Arial" w:cs="Arial"/>
          <w:bCs/>
          <w:sz w:val="24"/>
          <w:szCs w:val="24"/>
        </w:rPr>
        <w:t xml:space="preserve"> is needed to understand the factors behind this distribution, including recruitment, progression, and retention.</w:t>
      </w:r>
    </w:p>
    <w:p w14:paraId="37ACA3BF"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Gloucestershire Hospitals Disability Pay Gap 2025</w:t>
      </w:r>
    </w:p>
    <w:p w14:paraId="7512B132" w14:textId="77777777" w:rsidR="00A15718" w:rsidRPr="00A15718" w:rsidRDefault="00A15718" w:rsidP="00A15718">
      <w:pPr>
        <w:pStyle w:val="ListParagraph"/>
        <w:numPr>
          <w:ilvl w:val="0"/>
          <w:numId w:val="6"/>
        </w:numPr>
        <w:spacing w:before="120" w:after="240" w:line="276" w:lineRule="auto"/>
        <w:contextualSpacing w:val="0"/>
        <w:jc w:val="both"/>
        <w:rPr>
          <w:rFonts w:ascii="Arial" w:hAnsi="Arial" w:cs="Arial"/>
          <w:vanish/>
          <w:sz w:val="24"/>
          <w:szCs w:val="24"/>
        </w:rPr>
      </w:pPr>
    </w:p>
    <w:p w14:paraId="6924D10F" w14:textId="77777777" w:rsidR="00A15718" w:rsidRPr="00A15718" w:rsidRDefault="00A15718" w:rsidP="00A15718">
      <w:pPr>
        <w:spacing w:before="120" w:after="120" w:line="276" w:lineRule="auto"/>
        <w:jc w:val="both"/>
        <w:rPr>
          <w:rFonts w:ascii="Arial" w:hAnsi="Arial" w:cs="Arial"/>
          <w:sz w:val="24"/>
          <w:szCs w:val="24"/>
        </w:rPr>
      </w:pPr>
      <w:r w:rsidRPr="00A15718">
        <w:rPr>
          <w:rFonts w:ascii="Arial" w:hAnsi="Arial" w:cs="Arial"/>
          <w:sz w:val="24"/>
          <w:szCs w:val="24"/>
        </w:rPr>
        <w:t xml:space="preserve">Data </w:t>
      </w:r>
      <w:r w:rsidRPr="00A15718">
        <w:rPr>
          <w:rFonts w:ascii="Arial" w:eastAsia="Times New Roman" w:hAnsi="Arial" w:cs="Arial"/>
          <w:sz w:val="24"/>
          <w:szCs w:val="24"/>
        </w:rPr>
        <w:t>reported</w:t>
      </w:r>
      <w:r w:rsidRPr="00A15718">
        <w:rPr>
          <w:rFonts w:ascii="Arial" w:hAnsi="Arial" w:cs="Arial"/>
          <w:sz w:val="24"/>
          <w:szCs w:val="24"/>
        </w:rPr>
        <w:t xml:space="preserve"> as </w:t>
      </w:r>
      <w:proofErr w:type="gramStart"/>
      <w:r w:rsidRPr="00A15718">
        <w:rPr>
          <w:rFonts w:ascii="Arial" w:hAnsi="Arial" w:cs="Arial"/>
          <w:sz w:val="24"/>
          <w:szCs w:val="24"/>
        </w:rPr>
        <w:t>at</w:t>
      </w:r>
      <w:proofErr w:type="gramEnd"/>
      <w:r w:rsidRPr="00A15718">
        <w:rPr>
          <w:rFonts w:ascii="Arial" w:hAnsi="Arial" w:cs="Arial"/>
          <w:sz w:val="24"/>
          <w:szCs w:val="24"/>
        </w:rPr>
        <w:t xml:space="preserve"> 31 March 2025, unless otherwise indicated.</w:t>
      </w:r>
    </w:p>
    <w:p w14:paraId="44751D11" w14:textId="77777777" w:rsidR="00A15718" w:rsidRPr="00A15718" w:rsidRDefault="00A15718" w:rsidP="00A15718">
      <w:pPr>
        <w:pStyle w:val="Heading1"/>
        <w:spacing w:after="0"/>
        <w:rPr>
          <w:rFonts w:ascii="Arial" w:hAnsi="Arial" w:cs="Arial"/>
          <w:bCs/>
          <w:color w:val="auto"/>
          <w:sz w:val="24"/>
          <w:szCs w:val="24"/>
        </w:rPr>
      </w:pPr>
      <w:r w:rsidRPr="00A15718">
        <w:rPr>
          <w:rFonts w:ascii="Arial" w:hAnsi="Arial" w:cs="Arial"/>
          <w:bCs/>
          <w:color w:val="auto"/>
          <w:sz w:val="24"/>
          <w:szCs w:val="24"/>
        </w:rPr>
        <w:t xml:space="preserve">Key Findings from March 2025 are as follows: </w:t>
      </w:r>
    </w:p>
    <w:p w14:paraId="5BE8EF3D" w14:textId="77777777" w:rsidR="00A15718" w:rsidRPr="00A15718" w:rsidRDefault="00A15718" w:rsidP="00A15718">
      <w:pPr>
        <w:pStyle w:val="ListParagraph"/>
        <w:numPr>
          <w:ilvl w:val="0"/>
          <w:numId w:val="6"/>
        </w:numPr>
        <w:spacing w:before="120" w:line="276" w:lineRule="auto"/>
        <w:contextualSpacing w:val="0"/>
        <w:jc w:val="both"/>
        <w:rPr>
          <w:rFonts w:ascii="Arial" w:hAnsi="Arial" w:cs="Arial"/>
          <w:vanish/>
          <w:sz w:val="24"/>
          <w:szCs w:val="24"/>
        </w:rPr>
      </w:pPr>
    </w:p>
    <w:p w14:paraId="122EDDBD" w14:textId="77777777" w:rsidR="00A15718" w:rsidRPr="00A15718" w:rsidRDefault="00A15718" w:rsidP="00A15718">
      <w:pPr>
        <w:pStyle w:val="ListParagraph"/>
        <w:numPr>
          <w:ilvl w:val="1"/>
          <w:numId w:val="9"/>
        </w:numPr>
        <w:spacing w:after="360" w:line="276" w:lineRule="auto"/>
        <w:jc w:val="both"/>
        <w:rPr>
          <w:rFonts w:ascii="Arial" w:hAnsi="Arial" w:cs="Arial"/>
          <w:sz w:val="24"/>
          <w:szCs w:val="24"/>
        </w:rPr>
      </w:pPr>
      <w:r w:rsidRPr="00A15718">
        <w:rPr>
          <w:rFonts w:ascii="Arial" w:hAnsi="Arial" w:cs="Arial"/>
          <w:sz w:val="24"/>
          <w:szCs w:val="24"/>
        </w:rPr>
        <w:t>The mean Disability Pay Gap (DPG) is 13.1% (£3.05) in favour of non-disabled staff.</w:t>
      </w:r>
    </w:p>
    <w:p w14:paraId="2AFD68B0" w14:textId="77777777" w:rsidR="00A15718" w:rsidRPr="00A15718" w:rsidRDefault="00A15718" w:rsidP="00A15718">
      <w:pPr>
        <w:pStyle w:val="ListParagraph"/>
        <w:numPr>
          <w:ilvl w:val="1"/>
          <w:numId w:val="9"/>
        </w:numPr>
        <w:spacing w:after="120" w:line="276" w:lineRule="auto"/>
        <w:ind w:left="714" w:hanging="357"/>
        <w:jc w:val="both"/>
        <w:rPr>
          <w:rFonts w:ascii="Arial" w:hAnsi="Arial" w:cs="Arial"/>
          <w:color w:val="0070C0"/>
          <w:sz w:val="24"/>
          <w:szCs w:val="24"/>
        </w:rPr>
      </w:pPr>
      <w:r w:rsidRPr="00A15718">
        <w:rPr>
          <w:rFonts w:ascii="Arial" w:hAnsi="Arial" w:cs="Arial"/>
          <w:sz w:val="24"/>
          <w:szCs w:val="24"/>
        </w:rPr>
        <w:t>The median Disability Pay Gap (DPG) is 12.6% (£2.94) in favour of non-disabled staff.</w:t>
      </w:r>
    </w:p>
    <w:p w14:paraId="030E1642"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Disability Grouping Definitions: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34"/>
        <w:gridCol w:w="1466"/>
        <w:gridCol w:w="1466"/>
        <w:gridCol w:w="1652"/>
        <w:gridCol w:w="1598"/>
      </w:tblGrid>
      <w:tr w:rsidR="00A15718" w:rsidRPr="00A15718" w14:paraId="3506929C" w14:textId="77777777" w:rsidTr="00A15718">
        <w:tc>
          <w:tcPr>
            <w:tcW w:w="1572" w:type="pct"/>
            <w:shd w:val="clear" w:color="auto" w:fill="0070C0"/>
            <w:vAlign w:val="center"/>
          </w:tcPr>
          <w:p w14:paraId="79452393"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Yes</w:t>
            </w:r>
          </w:p>
        </w:tc>
        <w:tc>
          <w:tcPr>
            <w:tcW w:w="813" w:type="pct"/>
            <w:shd w:val="clear" w:color="auto" w:fill="0070C0"/>
            <w:vAlign w:val="center"/>
          </w:tcPr>
          <w:p w14:paraId="6C72AC8B"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No</w:t>
            </w:r>
          </w:p>
        </w:tc>
        <w:tc>
          <w:tcPr>
            <w:tcW w:w="813" w:type="pct"/>
            <w:shd w:val="clear" w:color="auto" w:fill="0070C0"/>
            <w:vAlign w:val="center"/>
          </w:tcPr>
          <w:p w14:paraId="0652514D"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Prefer not to answer</w:t>
            </w:r>
          </w:p>
        </w:tc>
        <w:tc>
          <w:tcPr>
            <w:tcW w:w="916" w:type="pct"/>
            <w:shd w:val="clear" w:color="auto" w:fill="0070C0"/>
            <w:vAlign w:val="center"/>
          </w:tcPr>
          <w:p w14:paraId="1F05B3BE"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Unspecified</w:t>
            </w:r>
          </w:p>
        </w:tc>
        <w:tc>
          <w:tcPr>
            <w:tcW w:w="886" w:type="pct"/>
            <w:shd w:val="clear" w:color="auto" w:fill="0070C0"/>
            <w:vAlign w:val="center"/>
          </w:tcPr>
          <w:p w14:paraId="38CD3F6A"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Not declared</w:t>
            </w:r>
          </w:p>
        </w:tc>
      </w:tr>
      <w:tr w:rsidR="00A15718" w:rsidRPr="00A15718" w14:paraId="21199560" w14:textId="77777777" w:rsidTr="00A15718">
        <w:tc>
          <w:tcPr>
            <w:tcW w:w="1572" w:type="pct"/>
            <w:vAlign w:val="center"/>
          </w:tcPr>
          <w:p w14:paraId="583340FD" w14:textId="77777777" w:rsidR="00A15718" w:rsidRPr="00A15718" w:rsidRDefault="00A15718" w:rsidP="0081318F">
            <w:pPr>
              <w:rPr>
                <w:rFonts w:ascii="Arial" w:hAnsi="Arial" w:cs="Arial"/>
              </w:rPr>
            </w:pPr>
            <w:r w:rsidRPr="00A15718">
              <w:rPr>
                <w:rFonts w:ascii="Arial" w:hAnsi="Arial" w:cs="Arial"/>
              </w:rPr>
              <w:t>Selected one of the following:</w:t>
            </w:r>
          </w:p>
          <w:p w14:paraId="41510D57" w14:textId="77777777" w:rsidR="00A15718" w:rsidRPr="00A15718" w:rsidRDefault="00A15718" w:rsidP="00A15718">
            <w:pPr>
              <w:pStyle w:val="ListParagraph"/>
              <w:numPr>
                <w:ilvl w:val="0"/>
                <w:numId w:val="7"/>
              </w:numPr>
              <w:rPr>
                <w:rFonts w:ascii="Arial" w:hAnsi="Arial" w:cs="Arial"/>
              </w:rPr>
            </w:pPr>
            <w:r w:rsidRPr="00A15718">
              <w:rPr>
                <w:rFonts w:ascii="Arial" w:hAnsi="Arial" w:cs="Arial"/>
              </w:rPr>
              <w:t>Learning disability/difficulty</w:t>
            </w:r>
          </w:p>
          <w:p w14:paraId="5D799DDE" w14:textId="77777777" w:rsidR="00A15718" w:rsidRPr="00A15718" w:rsidRDefault="00A15718" w:rsidP="00A15718">
            <w:pPr>
              <w:pStyle w:val="ListParagraph"/>
              <w:numPr>
                <w:ilvl w:val="0"/>
                <w:numId w:val="7"/>
              </w:numPr>
              <w:rPr>
                <w:rFonts w:ascii="Arial" w:hAnsi="Arial" w:cs="Arial"/>
              </w:rPr>
            </w:pPr>
            <w:r w:rsidRPr="00A15718">
              <w:rPr>
                <w:rFonts w:ascii="Arial" w:hAnsi="Arial" w:cs="Arial"/>
              </w:rPr>
              <w:t>Long standing illness</w:t>
            </w:r>
          </w:p>
          <w:p w14:paraId="1DAA30A2" w14:textId="77777777" w:rsidR="00A15718" w:rsidRPr="00A15718" w:rsidRDefault="00A15718" w:rsidP="00A15718">
            <w:pPr>
              <w:pStyle w:val="ListParagraph"/>
              <w:numPr>
                <w:ilvl w:val="0"/>
                <w:numId w:val="7"/>
              </w:numPr>
              <w:rPr>
                <w:rFonts w:ascii="Arial" w:hAnsi="Arial" w:cs="Arial"/>
              </w:rPr>
            </w:pPr>
            <w:r w:rsidRPr="00A15718">
              <w:rPr>
                <w:rFonts w:ascii="Arial" w:hAnsi="Arial" w:cs="Arial"/>
              </w:rPr>
              <w:t>Mental Health Condition</w:t>
            </w:r>
          </w:p>
          <w:p w14:paraId="2518684E" w14:textId="77777777" w:rsidR="00A15718" w:rsidRPr="00A15718" w:rsidRDefault="00A15718" w:rsidP="00A15718">
            <w:pPr>
              <w:pStyle w:val="ListParagraph"/>
              <w:numPr>
                <w:ilvl w:val="0"/>
                <w:numId w:val="7"/>
              </w:numPr>
              <w:rPr>
                <w:rFonts w:ascii="Arial" w:hAnsi="Arial" w:cs="Arial"/>
              </w:rPr>
            </w:pPr>
            <w:r w:rsidRPr="00A15718">
              <w:rPr>
                <w:rFonts w:ascii="Arial" w:hAnsi="Arial" w:cs="Arial"/>
              </w:rPr>
              <w:t>Physical Impairment</w:t>
            </w:r>
          </w:p>
          <w:p w14:paraId="34664DAE" w14:textId="77777777" w:rsidR="00A15718" w:rsidRPr="00A15718" w:rsidRDefault="00A15718" w:rsidP="00A15718">
            <w:pPr>
              <w:pStyle w:val="ListParagraph"/>
              <w:numPr>
                <w:ilvl w:val="0"/>
                <w:numId w:val="7"/>
              </w:numPr>
              <w:rPr>
                <w:rFonts w:ascii="Arial" w:hAnsi="Arial" w:cs="Arial"/>
              </w:rPr>
            </w:pPr>
            <w:r w:rsidRPr="00A15718">
              <w:rPr>
                <w:rFonts w:ascii="Arial" w:hAnsi="Arial" w:cs="Arial"/>
              </w:rPr>
              <w:t>Sensory Impairment</w:t>
            </w:r>
          </w:p>
          <w:p w14:paraId="53BEE1C7" w14:textId="77777777" w:rsidR="00A15718" w:rsidRPr="00A15718" w:rsidRDefault="00A15718" w:rsidP="00A15718">
            <w:pPr>
              <w:pStyle w:val="ListParagraph"/>
              <w:numPr>
                <w:ilvl w:val="0"/>
                <w:numId w:val="7"/>
              </w:numPr>
              <w:rPr>
                <w:rFonts w:ascii="Arial" w:hAnsi="Arial" w:cs="Arial"/>
              </w:rPr>
            </w:pPr>
            <w:r w:rsidRPr="00A15718">
              <w:rPr>
                <w:rFonts w:ascii="Arial" w:hAnsi="Arial" w:cs="Arial"/>
              </w:rPr>
              <w:t>Other</w:t>
            </w:r>
          </w:p>
        </w:tc>
        <w:tc>
          <w:tcPr>
            <w:tcW w:w="813" w:type="pct"/>
            <w:vAlign w:val="center"/>
          </w:tcPr>
          <w:p w14:paraId="5CE879C4" w14:textId="77777777" w:rsidR="00A15718" w:rsidRPr="00A15718" w:rsidRDefault="00A15718" w:rsidP="0081318F">
            <w:pPr>
              <w:rPr>
                <w:rFonts w:ascii="Arial" w:hAnsi="Arial" w:cs="Arial"/>
              </w:rPr>
            </w:pPr>
            <w:r w:rsidRPr="00A15718">
              <w:rPr>
                <w:rFonts w:ascii="Arial" w:hAnsi="Arial" w:cs="Arial"/>
              </w:rPr>
              <w:t>Selected no</w:t>
            </w:r>
          </w:p>
        </w:tc>
        <w:tc>
          <w:tcPr>
            <w:tcW w:w="813" w:type="pct"/>
            <w:vAlign w:val="center"/>
          </w:tcPr>
          <w:p w14:paraId="5D943250" w14:textId="77777777" w:rsidR="00A15718" w:rsidRPr="00A15718" w:rsidRDefault="00A15718" w:rsidP="0081318F">
            <w:pPr>
              <w:rPr>
                <w:rFonts w:ascii="Arial" w:hAnsi="Arial" w:cs="Arial"/>
              </w:rPr>
            </w:pPr>
            <w:r w:rsidRPr="00A15718">
              <w:rPr>
                <w:rFonts w:ascii="Arial" w:hAnsi="Arial" w:cs="Arial"/>
              </w:rPr>
              <w:t>Selected prefer not to answer</w:t>
            </w:r>
          </w:p>
        </w:tc>
        <w:tc>
          <w:tcPr>
            <w:tcW w:w="916" w:type="pct"/>
            <w:vAlign w:val="center"/>
          </w:tcPr>
          <w:p w14:paraId="195B064D" w14:textId="77777777" w:rsidR="00A15718" w:rsidRPr="00A15718" w:rsidRDefault="00A15718" w:rsidP="0081318F">
            <w:pPr>
              <w:rPr>
                <w:rFonts w:ascii="Arial" w:hAnsi="Arial" w:cs="Arial"/>
              </w:rPr>
            </w:pPr>
            <w:r w:rsidRPr="00A15718">
              <w:rPr>
                <w:rFonts w:ascii="Arial" w:hAnsi="Arial" w:cs="Arial"/>
              </w:rPr>
              <w:t>Selected ‘Yes – Unspecified’ meaning they are declaring an unspecified disability</w:t>
            </w:r>
          </w:p>
        </w:tc>
        <w:tc>
          <w:tcPr>
            <w:tcW w:w="886" w:type="pct"/>
            <w:vAlign w:val="center"/>
          </w:tcPr>
          <w:p w14:paraId="540D6647" w14:textId="77777777" w:rsidR="00A15718" w:rsidRPr="00A15718" w:rsidRDefault="00A15718" w:rsidP="0081318F">
            <w:pPr>
              <w:rPr>
                <w:rFonts w:ascii="Arial" w:hAnsi="Arial" w:cs="Arial"/>
              </w:rPr>
            </w:pPr>
            <w:r w:rsidRPr="00A15718">
              <w:rPr>
                <w:rFonts w:ascii="Arial" w:hAnsi="Arial" w:cs="Arial"/>
              </w:rPr>
              <w:t>Have not selected any of the above/have not answered</w:t>
            </w:r>
          </w:p>
        </w:tc>
      </w:tr>
    </w:tbl>
    <w:p w14:paraId="622A7EBC" w14:textId="7DFE592B" w:rsidR="00A15718" w:rsidRPr="00A15718" w:rsidRDefault="00A15718" w:rsidP="00A15718">
      <w:pPr>
        <w:spacing w:before="120" w:after="240" w:line="276" w:lineRule="auto"/>
        <w:jc w:val="both"/>
        <w:rPr>
          <w:rFonts w:ascii="Arial" w:hAnsi="Arial" w:cs="Arial"/>
          <w:sz w:val="24"/>
          <w:szCs w:val="24"/>
        </w:rPr>
      </w:pPr>
      <w:r w:rsidRPr="00A15718">
        <w:rPr>
          <w:rFonts w:ascii="Arial" w:hAnsi="Arial" w:cs="Arial"/>
          <w:sz w:val="24"/>
          <w:szCs w:val="24"/>
        </w:rPr>
        <w:t>The table below shows the average and median hourly rates for different ethnic origins groups as follows. As this is the first year, we have analysed the Disability Pay Gap data, there is no comparison with previous years data.</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783"/>
        <w:gridCol w:w="2708"/>
        <w:gridCol w:w="3525"/>
      </w:tblGrid>
      <w:tr w:rsidR="00A15718" w:rsidRPr="00A15718" w14:paraId="57279788" w14:textId="77777777" w:rsidTr="00A15718">
        <w:trPr>
          <w:trHeight w:val="290"/>
        </w:trPr>
        <w:tc>
          <w:tcPr>
            <w:tcW w:w="1543" w:type="pct"/>
            <w:shd w:val="clear" w:color="auto" w:fill="0070C0"/>
            <w:vAlign w:val="center"/>
            <w:hideMark/>
          </w:tcPr>
          <w:p w14:paraId="713ECB16"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Disability Grouping Summary</w:t>
            </w:r>
          </w:p>
          <w:p w14:paraId="1101F744" w14:textId="77777777" w:rsidR="00A15718" w:rsidRPr="00A15718" w:rsidRDefault="00A15718" w:rsidP="0081318F">
            <w:pPr>
              <w:spacing w:after="0" w:line="240" w:lineRule="auto"/>
              <w:rPr>
                <w:rFonts w:ascii="Arial" w:eastAsia="Times New Roman" w:hAnsi="Arial" w:cs="Arial"/>
                <w:b/>
                <w:bCs/>
                <w:color w:val="FFFFFF"/>
                <w:sz w:val="24"/>
                <w:szCs w:val="24"/>
              </w:rPr>
            </w:pPr>
          </w:p>
        </w:tc>
        <w:tc>
          <w:tcPr>
            <w:tcW w:w="1502" w:type="pct"/>
            <w:shd w:val="clear" w:color="auto" w:fill="0070C0"/>
            <w:vAlign w:val="center"/>
            <w:hideMark/>
          </w:tcPr>
          <w:p w14:paraId="1377B151"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Mean Hourly Rate</w:t>
            </w:r>
          </w:p>
        </w:tc>
        <w:tc>
          <w:tcPr>
            <w:tcW w:w="1955" w:type="pct"/>
            <w:shd w:val="clear" w:color="auto" w:fill="0070C0"/>
            <w:vAlign w:val="center"/>
            <w:hideMark/>
          </w:tcPr>
          <w:p w14:paraId="71DA1A15"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Median Hourly Rate</w:t>
            </w:r>
          </w:p>
        </w:tc>
      </w:tr>
      <w:tr w:rsidR="00A15718" w:rsidRPr="00A15718" w14:paraId="7BA6E951" w14:textId="77777777" w:rsidTr="00A15718">
        <w:trPr>
          <w:trHeight w:val="290"/>
        </w:trPr>
        <w:tc>
          <w:tcPr>
            <w:tcW w:w="1543" w:type="pct"/>
            <w:vAlign w:val="center"/>
          </w:tcPr>
          <w:p w14:paraId="24ED18A5"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No</w:t>
            </w:r>
          </w:p>
        </w:tc>
        <w:tc>
          <w:tcPr>
            <w:tcW w:w="1502" w:type="pct"/>
            <w:shd w:val="clear" w:color="000000" w:fill="FFFFFF"/>
            <w:vAlign w:val="center"/>
          </w:tcPr>
          <w:p w14:paraId="36D73C6C"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£23.34</w:t>
            </w:r>
          </w:p>
        </w:tc>
        <w:tc>
          <w:tcPr>
            <w:tcW w:w="1955" w:type="pct"/>
            <w:shd w:val="clear" w:color="000000" w:fill="FFFFFF"/>
            <w:vAlign w:val="center"/>
          </w:tcPr>
          <w:p w14:paraId="7A35C3D6"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£23.37</w:t>
            </w:r>
          </w:p>
        </w:tc>
      </w:tr>
      <w:tr w:rsidR="00A15718" w:rsidRPr="00A15718" w14:paraId="11FC7902" w14:textId="77777777" w:rsidTr="00A15718">
        <w:trPr>
          <w:trHeight w:val="290"/>
        </w:trPr>
        <w:tc>
          <w:tcPr>
            <w:tcW w:w="1543" w:type="pct"/>
            <w:vAlign w:val="center"/>
          </w:tcPr>
          <w:p w14:paraId="4D51BCF0"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Not Declared</w:t>
            </w:r>
          </w:p>
        </w:tc>
        <w:tc>
          <w:tcPr>
            <w:tcW w:w="1502" w:type="pct"/>
            <w:shd w:val="clear" w:color="000000" w:fill="FFFFFF"/>
            <w:vAlign w:val="center"/>
          </w:tcPr>
          <w:p w14:paraId="53CA2E69"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£21.87</w:t>
            </w:r>
          </w:p>
        </w:tc>
        <w:tc>
          <w:tcPr>
            <w:tcW w:w="1955" w:type="pct"/>
            <w:shd w:val="clear" w:color="000000" w:fill="FFFFFF"/>
            <w:vAlign w:val="center"/>
          </w:tcPr>
          <w:p w14:paraId="0E634937"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£22.01</w:t>
            </w:r>
          </w:p>
        </w:tc>
      </w:tr>
      <w:tr w:rsidR="00A15718" w:rsidRPr="00A15718" w14:paraId="4596B1C3" w14:textId="77777777" w:rsidTr="00A15718">
        <w:trPr>
          <w:trHeight w:val="290"/>
        </w:trPr>
        <w:tc>
          <w:tcPr>
            <w:tcW w:w="1543" w:type="pct"/>
            <w:vAlign w:val="center"/>
          </w:tcPr>
          <w:p w14:paraId="1DBAF3C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 xml:space="preserve">Prefer Not </w:t>
            </w:r>
            <w:proofErr w:type="gramStart"/>
            <w:r w:rsidRPr="00A15718">
              <w:rPr>
                <w:rFonts w:ascii="Arial" w:eastAsia="Times New Roman" w:hAnsi="Arial" w:cs="Arial"/>
                <w:color w:val="000000"/>
                <w:sz w:val="24"/>
                <w:szCs w:val="24"/>
              </w:rPr>
              <w:t>To</w:t>
            </w:r>
            <w:proofErr w:type="gramEnd"/>
            <w:r w:rsidRPr="00A15718">
              <w:rPr>
                <w:rFonts w:ascii="Arial" w:eastAsia="Times New Roman" w:hAnsi="Arial" w:cs="Arial"/>
                <w:color w:val="000000"/>
                <w:sz w:val="24"/>
                <w:szCs w:val="24"/>
              </w:rPr>
              <w:t xml:space="preserve"> Answer</w:t>
            </w:r>
          </w:p>
        </w:tc>
        <w:tc>
          <w:tcPr>
            <w:tcW w:w="1502" w:type="pct"/>
            <w:shd w:val="clear" w:color="000000" w:fill="FFFFFF"/>
            <w:vAlign w:val="center"/>
          </w:tcPr>
          <w:p w14:paraId="28270005"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£19.07</w:t>
            </w:r>
          </w:p>
        </w:tc>
        <w:tc>
          <w:tcPr>
            <w:tcW w:w="1955" w:type="pct"/>
            <w:shd w:val="clear" w:color="000000" w:fill="FFFFFF"/>
            <w:vAlign w:val="center"/>
          </w:tcPr>
          <w:p w14:paraId="7B389AC7"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£19.10</w:t>
            </w:r>
          </w:p>
        </w:tc>
      </w:tr>
      <w:tr w:rsidR="00A15718" w:rsidRPr="00A15718" w14:paraId="5B13D155" w14:textId="77777777" w:rsidTr="00A15718">
        <w:trPr>
          <w:trHeight w:val="290"/>
        </w:trPr>
        <w:tc>
          <w:tcPr>
            <w:tcW w:w="1543" w:type="pct"/>
            <w:vAlign w:val="center"/>
          </w:tcPr>
          <w:p w14:paraId="412E6E37"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Unspecified</w:t>
            </w:r>
          </w:p>
        </w:tc>
        <w:tc>
          <w:tcPr>
            <w:tcW w:w="1502" w:type="pct"/>
            <w:shd w:val="clear" w:color="000000" w:fill="FFFFFF"/>
            <w:vAlign w:val="center"/>
          </w:tcPr>
          <w:p w14:paraId="2D470ECC"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£25.29</w:t>
            </w:r>
          </w:p>
        </w:tc>
        <w:tc>
          <w:tcPr>
            <w:tcW w:w="1955" w:type="pct"/>
            <w:shd w:val="clear" w:color="000000" w:fill="FFFFFF"/>
            <w:vAlign w:val="center"/>
          </w:tcPr>
          <w:p w14:paraId="1A0F614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£25.56</w:t>
            </w:r>
          </w:p>
        </w:tc>
      </w:tr>
      <w:tr w:rsidR="00A15718" w:rsidRPr="00A15718" w14:paraId="1925C3C4" w14:textId="77777777" w:rsidTr="00A15718">
        <w:trPr>
          <w:trHeight w:val="290"/>
        </w:trPr>
        <w:tc>
          <w:tcPr>
            <w:tcW w:w="1543" w:type="pct"/>
            <w:vAlign w:val="center"/>
          </w:tcPr>
          <w:p w14:paraId="2252A357"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Yes</w:t>
            </w:r>
          </w:p>
        </w:tc>
        <w:tc>
          <w:tcPr>
            <w:tcW w:w="1502" w:type="pct"/>
            <w:shd w:val="clear" w:color="000000" w:fill="FFFFFF"/>
            <w:vAlign w:val="center"/>
          </w:tcPr>
          <w:p w14:paraId="575104F0"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£20.29</w:t>
            </w:r>
          </w:p>
        </w:tc>
        <w:tc>
          <w:tcPr>
            <w:tcW w:w="1955" w:type="pct"/>
            <w:shd w:val="clear" w:color="000000" w:fill="FFFFFF"/>
            <w:vAlign w:val="center"/>
          </w:tcPr>
          <w:p w14:paraId="5A375E33"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£20.43</w:t>
            </w:r>
          </w:p>
        </w:tc>
      </w:tr>
    </w:tbl>
    <w:p w14:paraId="2F08C909" w14:textId="77777777" w:rsidR="00A15718" w:rsidRPr="00A15718" w:rsidRDefault="00A15718" w:rsidP="00A15718">
      <w:pPr>
        <w:spacing w:before="120" w:line="276" w:lineRule="auto"/>
        <w:jc w:val="both"/>
        <w:rPr>
          <w:rFonts w:ascii="Arial" w:hAnsi="Arial" w:cs="Arial"/>
          <w:sz w:val="24"/>
          <w:szCs w:val="24"/>
        </w:rPr>
      </w:pPr>
      <w:r w:rsidRPr="00A15718">
        <w:rPr>
          <w:rFonts w:ascii="Arial" w:hAnsi="Arial" w:cs="Arial"/>
          <w:sz w:val="24"/>
          <w:szCs w:val="24"/>
        </w:rPr>
        <w:lastRenderedPageBreak/>
        <w:t xml:space="preserve">This shows that our disabled staff earn a mean hourly rate of £20.29, whilst non-disabled staff earn a mean hourly rate of £23.34. This gives a difference of £3.05, representing a pay gap of 13.06% in favour of non-disabled staff. </w:t>
      </w:r>
    </w:p>
    <w:p w14:paraId="7F151FE7"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 xml:space="preserve">The median hourly rate for disabled staff is £20.43, compared to a median hourly rate of £23.37 for non-disabled staff. This gives a difference of £2.94 and a pay gap of 12.6% in favour of EM staff. </w:t>
      </w:r>
    </w:p>
    <w:p w14:paraId="6875E59D" w14:textId="77777777" w:rsidR="00A15718" w:rsidRPr="00A15718" w:rsidRDefault="00A15718" w:rsidP="00A15718">
      <w:pPr>
        <w:pStyle w:val="ListParagraph"/>
        <w:numPr>
          <w:ilvl w:val="1"/>
          <w:numId w:val="9"/>
        </w:numPr>
        <w:spacing w:after="360" w:line="276" w:lineRule="auto"/>
        <w:jc w:val="both"/>
        <w:rPr>
          <w:rFonts w:ascii="Arial" w:hAnsi="Arial" w:cs="Arial"/>
          <w:sz w:val="24"/>
          <w:szCs w:val="24"/>
        </w:rPr>
      </w:pPr>
      <w:r w:rsidRPr="00A15718">
        <w:rPr>
          <w:rFonts w:ascii="Arial" w:hAnsi="Arial" w:cs="Arial"/>
          <w:sz w:val="24"/>
          <w:szCs w:val="24"/>
        </w:rPr>
        <w:t>The mean hourly rate for Not Declared is £21.87 and the median is £22.01.</w:t>
      </w:r>
    </w:p>
    <w:p w14:paraId="0DF6AC41" w14:textId="77777777" w:rsidR="00A15718" w:rsidRPr="00A15718" w:rsidRDefault="00A15718" w:rsidP="00A15718">
      <w:pPr>
        <w:pStyle w:val="ListParagraph"/>
        <w:numPr>
          <w:ilvl w:val="1"/>
          <w:numId w:val="9"/>
        </w:numPr>
        <w:spacing w:after="360" w:line="276" w:lineRule="auto"/>
        <w:jc w:val="both"/>
        <w:rPr>
          <w:rFonts w:ascii="Arial" w:hAnsi="Arial" w:cs="Arial"/>
          <w:sz w:val="24"/>
          <w:szCs w:val="24"/>
        </w:rPr>
      </w:pPr>
      <w:r w:rsidRPr="00A15718">
        <w:rPr>
          <w:rFonts w:ascii="Arial" w:hAnsi="Arial" w:cs="Arial"/>
          <w:sz w:val="24"/>
          <w:szCs w:val="24"/>
        </w:rPr>
        <w:t>The mean hourly rate for Prefer Not to Answer is £19.07 and the median is £19.10.</w:t>
      </w:r>
    </w:p>
    <w:p w14:paraId="4B3AE286" w14:textId="77777777" w:rsidR="00A15718" w:rsidRPr="00A15718" w:rsidRDefault="00A15718" w:rsidP="00A15718">
      <w:pPr>
        <w:pStyle w:val="ListParagraph"/>
        <w:numPr>
          <w:ilvl w:val="1"/>
          <w:numId w:val="9"/>
        </w:numPr>
        <w:spacing w:after="360" w:line="276" w:lineRule="auto"/>
        <w:jc w:val="both"/>
        <w:rPr>
          <w:rFonts w:ascii="Arial" w:hAnsi="Arial" w:cs="Arial"/>
          <w:sz w:val="24"/>
          <w:szCs w:val="24"/>
        </w:rPr>
      </w:pPr>
      <w:r w:rsidRPr="00A15718">
        <w:rPr>
          <w:rFonts w:ascii="Arial" w:hAnsi="Arial" w:cs="Arial"/>
          <w:sz w:val="24"/>
          <w:szCs w:val="24"/>
        </w:rPr>
        <w:t>The mean hourly rate for Unspecified is £25.29 and the median is £25.56.</w:t>
      </w:r>
    </w:p>
    <w:p w14:paraId="2D110F44"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 xml:space="preserve">Staff who declare their disability status as ‘unspecified’ earn the highest on average, with those preferring not to answer having the lowest earnings on average. </w:t>
      </w:r>
    </w:p>
    <w:p w14:paraId="177C2357"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 xml:space="preserve">Pay Quartiles </w:t>
      </w:r>
    </w:p>
    <w:p w14:paraId="10648D8F" w14:textId="77777777" w:rsidR="00A15718" w:rsidRPr="00A15718" w:rsidRDefault="00A15718" w:rsidP="00A15718">
      <w:pPr>
        <w:pStyle w:val="ListParagraph"/>
        <w:numPr>
          <w:ilvl w:val="0"/>
          <w:numId w:val="6"/>
        </w:numPr>
        <w:spacing w:line="276" w:lineRule="auto"/>
        <w:contextualSpacing w:val="0"/>
        <w:jc w:val="both"/>
        <w:rPr>
          <w:rFonts w:ascii="Arial" w:hAnsi="Arial" w:cs="Arial"/>
          <w:vanish/>
          <w:sz w:val="24"/>
          <w:szCs w:val="24"/>
        </w:rPr>
      </w:pPr>
    </w:p>
    <w:p w14:paraId="7C976F54"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This data shows the distribution of individuals in different disability declaration group across four pay quartiles (1 to 4). These quartiles represent salary bands, with Quartile 1 being the lowest and Quartile 4 being the highest. The numbers show how many individuals from each disability declaration group are in each quartile.</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23"/>
        <w:gridCol w:w="1174"/>
        <w:gridCol w:w="1697"/>
        <w:gridCol w:w="2644"/>
        <w:gridCol w:w="1577"/>
        <w:gridCol w:w="801"/>
      </w:tblGrid>
      <w:tr w:rsidR="00A15718" w:rsidRPr="00A15718" w14:paraId="2303CD5C" w14:textId="77777777" w:rsidTr="00A15718">
        <w:trPr>
          <w:trHeight w:val="300"/>
        </w:trPr>
        <w:tc>
          <w:tcPr>
            <w:tcW w:w="573" w:type="pct"/>
            <w:shd w:val="clear" w:color="auto" w:fill="0070C0"/>
            <w:vAlign w:val="center"/>
            <w:hideMark/>
          </w:tcPr>
          <w:p w14:paraId="390E5BE2" w14:textId="77777777" w:rsidR="00A15718" w:rsidRPr="00A15718" w:rsidRDefault="00A15718" w:rsidP="0081318F">
            <w:pPr>
              <w:spacing w:after="0" w:line="240" w:lineRule="auto"/>
              <w:rPr>
                <w:rFonts w:ascii="Arial" w:eastAsia="Times New Roman" w:hAnsi="Arial" w:cs="Arial"/>
                <w:b/>
                <w:bCs/>
                <w:color w:val="FFFFFF"/>
                <w:sz w:val="24"/>
                <w:szCs w:val="24"/>
              </w:rPr>
            </w:pPr>
          </w:p>
          <w:p w14:paraId="76E7C690"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Quartile</w:t>
            </w:r>
          </w:p>
          <w:p w14:paraId="34B97DDF" w14:textId="77777777" w:rsidR="00A15718" w:rsidRPr="00A15718" w:rsidRDefault="00A15718" w:rsidP="0081318F">
            <w:pPr>
              <w:spacing w:after="0" w:line="240" w:lineRule="auto"/>
              <w:rPr>
                <w:rFonts w:ascii="Arial" w:eastAsia="Times New Roman" w:hAnsi="Arial" w:cs="Arial"/>
                <w:b/>
                <w:bCs/>
                <w:color w:val="FFFFFF"/>
                <w:sz w:val="24"/>
                <w:szCs w:val="24"/>
              </w:rPr>
            </w:pPr>
          </w:p>
          <w:p w14:paraId="4B1E9BB8" w14:textId="77777777" w:rsidR="00A15718" w:rsidRPr="00A15718" w:rsidRDefault="00A15718" w:rsidP="0081318F">
            <w:pPr>
              <w:spacing w:after="0" w:line="240" w:lineRule="auto"/>
              <w:rPr>
                <w:rFonts w:ascii="Arial" w:eastAsia="Times New Roman" w:hAnsi="Arial" w:cs="Arial"/>
                <w:b/>
                <w:bCs/>
                <w:color w:val="FFFFFF"/>
                <w:sz w:val="24"/>
                <w:szCs w:val="24"/>
              </w:rPr>
            </w:pPr>
          </w:p>
        </w:tc>
        <w:tc>
          <w:tcPr>
            <w:tcW w:w="850" w:type="pct"/>
            <w:shd w:val="clear" w:color="auto" w:fill="0070C0"/>
            <w:noWrap/>
            <w:vAlign w:val="center"/>
          </w:tcPr>
          <w:p w14:paraId="7048B529"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No</w:t>
            </w:r>
          </w:p>
        </w:tc>
        <w:tc>
          <w:tcPr>
            <w:tcW w:w="853" w:type="pct"/>
            <w:shd w:val="clear" w:color="auto" w:fill="0070C0"/>
            <w:noWrap/>
            <w:vAlign w:val="center"/>
          </w:tcPr>
          <w:p w14:paraId="305AE580"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Not Declared</w:t>
            </w:r>
          </w:p>
        </w:tc>
        <w:tc>
          <w:tcPr>
            <w:tcW w:w="1267" w:type="pct"/>
            <w:shd w:val="clear" w:color="auto" w:fill="0070C0"/>
            <w:noWrap/>
            <w:vAlign w:val="center"/>
          </w:tcPr>
          <w:p w14:paraId="2A231FDD"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 xml:space="preserve">Prefer Not </w:t>
            </w:r>
            <w:proofErr w:type="gramStart"/>
            <w:r w:rsidRPr="00A15718">
              <w:rPr>
                <w:rFonts w:ascii="Arial" w:eastAsia="Times New Roman" w:hAnsi="Arial" w:cs="Arial"/>
                <w:b/>
                <w:bCs/>
                <w:color w:val="FFFFFF"/>
                <w:sz w:val="24"/>
                <w:szCs w:val="24"/>
              </w:rPr>
              <w:t>To</w:t>
            </w:r>
            <w:proofErr w:type="gramEnd"/>
            <w:r w:rsidRPr="00A15718">
              <w:rPr>
                <w:rFonts w:ascii="Arial" w:eastAsia="Times New Roman" w:hAnsi="Arial" w:cs="Arial"/>
                <w:b/>
                <w:bCs/>
                <w:color w:val="FFFFFF"/>
                <w:sz w:val="24"/>
                <w:szCs w:val="24"/>
              </w:rPr>
              <w:t xml:space="preserve"> Answer</w:t>
            </w:r>
          </w:p>
        </w:tc>
        <w:tc>
          <w:tcPr>
            <w:tcW w:w="814" w:type="pct"/>
            <w:shd w:val="clear" w:color="auto" w:fill="0070C0"/>
            <w:noWrap/>
            <w:vAlign w:val="center"/>
          </w:tcPr>
          <w:p w14:paraId="208A3C40"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Unspecified</w:t>
            </w:r>
          </w:p>
        </w:tc>
        <w:tc>
          <w:tcPr>
            <w:tcW w:w="643" w:type="pct"/>
            <w:shd w:val="clear" w:color="auto" w:fill="0070C0"/>
            <w:noWrap/>
            <w:vAlign w:val="center"/>
          </w:tcPr>
          <w:p w14:paraId="72362A5B"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Yes</w:t>
            </w:r>
          </w:p>
        </w:tc>
      </w:tr>
      <w:tr w:rsidR="00A15718" w:rsidRPr="00A15718" w14:paraId="40F92E6F" w14:textId="77777777" w:rsidTr="00A15718">
        <w:trPr>
          <w:trHeight w:val="300"/>
        </w:trPr>
        <w:tc>
          <w:tcPr>
            <w:tcW w:w="573" w:type="pct"/>
            <w:shd w:val="clear" w:color="auto" w:fill="0070C0"/>
            <w:vAlign w:val="center"/>
            <w:hideMark/>
          </w:tcPr>
          <w:p w14:paraId="63EA1644"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1</w:t>
            </w:r>
          </w:p>
        </w:tc>
        <w:tc>
          <w:tcPr>
            <w:tcW w:w="850" w:type="pct"/>
            <w:shd w:val="clear" w:color="000000" w:fill="FFFFFF"/>
            <w:vAlign w:val="center"/>
          </w:tcPr>
          <w:p w14:paraId="2665125C"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1,409</w:t>
            </w:r>
          </w:p>
        </w:tc>
        <w:tc>
          <w:tcPr>
            <w:tcW w:w="853" w:type="pct"/>
            <w:shd w:val="clear" w:color="000000" w:fill="FFFFFF"/>
            <w:vAlign w:val="center"/>
          </w:tcPr>
          <w:p w14:paraId="0E7E1D3B"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375</w:t>
            </w:r>
          </w:p>
        </w:tc>
        <w:tc>
          <w:tcPr>
            <w:tcW w:w="1267" w:type="pct"/>
            <w:shd w:val="clear" w:color="000000" w:fill="FFFFFF"/>
            <w:vAlign w:val="center"/>
          </w:tcPr>
          <w:p w14:paraId="173410B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22</w:t>
            </w:r>
          </w:p>
        </w:tc>
        <w:tc>
          <w:tcPr>
            <w:tcW w:w="814" w:type="pct"/>
            <w:shd w:val="clear" w:color="000000" w:fill="FFFFFF"/>
            <w:vAlign w:val="center"/>
          </w:tcPr>
          <w:p w14:paraId="437108E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339</w:t>
            </w:r>
          </w:p>
        </w:tc>
        <w:tc>
          <w:tcPr>
            <w:tcW w:w="643" w:type="pct"/>
            <w:shd w:val="clear" w:color="000000" w:fill="FFFFFF"/>
            <w:vAlign w:val="center"/>
          </w:tcPr>
          <w:p w14:paraId="626E6A84"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178</w:t>
            </w:r>
          </w:p>
        </w:tc>
      </w:tr>
      <w:tr w:rsidR="00A15718" w:rsidRPr="00A15718" w14:paraId="1B9DAD25" w14:textId="77777777" w:rsidTr="00A15718">
        <w:trPr>
          <w:trHeight w:val="300"/>
        </w:trPr>
        <w:tc>
          <w:tcPr>
            <w:tcW w:w="573" w:type="pct"/>
            <w:shd w:val="clear" w:color="auto" w:fill="0070C0"/>
            <w:vAlign w:val="center"/>
            <w:hideMark/>
          </w:tcPr>
          <w:p w14:paraId="3277220E"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2</w:t>
            </w:r>
          </w:p>
        </w:tc>
        <w:tc>
          <w:tcPr>
            <w:tcW w:w="850" w:type="pct"/>
            <w:shd w:val="clear" w:color="000000" w:fill="FFFFFF"/>
            <w:vAlign w:val="center"/>
          </w:tcPr>
          <w:p w14:paraId="1F6242BD"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1,452</w:t>
            </w:r>
          </w:p>
        </w:tc>
        <w:tc>
          <w:tcPr>
            <w:tcW w:w="853" w:type="pct"/>
            <w:shd w:val="clear" w:color="000000" w:fill="FFFFFF"/>
            <w:vAlign w:val="center"/>
          </w:tcPr>
          <w:p w14:paraId="17A7035C"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371</w:t>
            </w:r>
          </w:p>
        </w:tc>
        <w:tc>
          <w:tcPr>
            <w:tcW w:w="1267" w:type="pct"/>
            <w:shd w:val="clear" w:color="000000" w:fill="FFFFFF"/>
            <w:vAlign w:val="center"/>
          </w:tcPr>
          <w:p w14:paraId="7D38AAD2"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11</w:t>
            </w:r>
          </w:p>
        </w:tc>
        <w:tc>
          <w:tcPr>
            <w:tcW w:w="814" w:type="pct"/>
            <w:shd w:val="clear" w:color="000000" w:fill="FFFFFF"/>
            <w:vAlign w:val="center"/>
          </w:tcPr>
          <w:p w14:paraId="01FE48A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408</w:t>
            </w:r>
          </w:p>
        </w:tc>
        <w:tc>
          <w:tcPr>
            <w:tcW w:w="643" w:type="pct"/>
            <w:shd w:val="clear" w:color="000000" w:fill="FFFFFF"/>
            <w:vAlign w:val="center"/>
          </w:tcPr>
          <w:p w14:paraId="13360D0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124</w:t>
            </w:r>
          </w:p>
        </w:tc>
      </w:tr>
      <w:tr w:rsidR="00A15718" w:rsidRPr="00A15718" w14:paraId="1D0E1979" w14:textId="77777777" w:rsidTr="00A15718">
        <w:trPr>
          <w:trHeight w:val="300"/>
        </w:trPr>
        <w:tc>
          <w:tcPr>
            <w:tcW w:w="573" w:type="pct"/>
            <w:shd w:val="clear" w:color="auto" w:fill="0070C0"/>
            <w:vAlign w:val="center"/>
            <w:hideMark/>
          </w:tcPr>
          <w:p w14:paraId="0B081D64"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3</w:t>
            </w:r>
          </w:p>
        </w:tc>
        <w:tc>
          <w:tcPr>
            <w:tcW w:w="850" w:type="pct"/>
            <w:shd w:val="clear" w:color="000000" w:fill="FFFFFF"/>
            <w:vAlign w:val="center"/>
          </w:tcPr>
          <w:p w14:paraId="515C3A9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1,441</w:t>
            </w:r>
          </w:p>
        </w:tc>
        <w:tc>
          <w:tcPr>
            <w:tcW w:w="853" w:type="pct"/>
            <w:shd w:val="clear" w:color="000000" w:fill="FFFFFF"/>
            <w:vAlign w:val="center"/>
          </w:tcPr>
          <w:p w14:paraId="5A410567"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401</w:t>
            </w:r>
          </w:p>
        </w:tc>
        <w:tc>
          <w:tcPr>
            <w:tcW w:w="1267" w:type="pct"/>
            <w:shd w:val="clear" w:color="000000" w:fill="FFFFFF"/>
            <w:vAlign w:val="center"/>
          </w:tcPr>
          <w:p w14:paraId="0B7929FF"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9</w:t>
            </w:r>
          </w:p>
        </w:tc>
        <w:tc>
          <w:tcPr>
            <w:tcW w:w="814" w:type="pct"/>
            <w:shd w:val="clear" w:color="000000" w:fill="FFFFFF"/>
            <w:vAlign w:val="center"/>
          </w:tcPr>
          <w:p w14:paraId="424CCC7D"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365</w:t>
            </w:r>
          </w:p>
        </w:tc>
        <w:tc>
          <w:tcPr>
            <w:tcW w:w="643" w:type="pct"/>
            <w:shd w:val="clear" w:color="000000" w:fill="FFFFFF"/>
            <w:vAlign w:val="center"/>
          </w:tcPr>
          <w:p w14:paraId="174DC1BC"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94</w:t>
            </w:r>
          </w:p>
        </w:tc>
      </w:tr>
      <w:tr w:rsidR="00A15718" w:rsidRPr="00A15718" w14:paraId="728D9924" w14:textId="77777777" w:rsidTr="00A15718">
        <w:trPr>
          <w:trHeight w:val="300"/>
        </w:trPr>
        <w:tc>
          <w:tcPr>
            <w:tcW w:w="573" w:type="pct"/>
            <w:shd w:val="clear" w:color="auto" w:fill="0070C0"/>
            <w:vAlign w:val="center"/>
            <w:hideMark/>
          </w:tcPr>
          <w:p w14:paraId="40F3F812"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4</w:t>
            </w:r>
          </w:p>
        </w:tc>
        <w:tc>
          <w:tcPr>
            <w:tcW w:w="850" w:type="pct"/>
            <w:shd w:val="clear" w:color="000000" w:fill="FFFFFF"/>
            <w:vAlign w:val="center"/>
          </w:tcPr>
          <w:p w14:paraId="6A809E75"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1,463</w:t>
            </w:r>
          </w:p>
        </w:tc>
        <w:tc>
          <w:tcPr>
            <w:tcW w:w="853" w:type="pct"/>
            <w:shd w:val="clear" w:color="000000" w:fill="FFFFFF"/>
            <w:vAlign w:val="center"/>
          </w:tcPr>
          <w:p w14:paraId="634BD920"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290</w:t>
            </w:r>
          </w:p>
        </w:tc>
        <w:tc>
          <w:tcPr>
            <w:tcW w:w="1267" w:type="pct"/>
            <w:shd w:val="clear" w:color="000000" w:fill="FFFFFF"/>
            <w:vAlign w:val="center"/>
          </w:tcPr>
          <w:p w14:paraId="6FD58CAB"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5</w:t>
            </w:r>
          </w:p>
        </w:tc>
        <w:tc>
          <w:tcPr>
            <w:tcW w:w="814" w:type="pct"/>
            <w:shd w:val="clear" w:color="000000" w:fill="FFFFFF"/>
            <w:vAlign w:val="center"/>
          </w:tcPr>
          <w:p w14:paraId="6E827979"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555</w:t>
            </w:r>
          </w:p>
        </w:tc>
        <w:tc>
          <w:tcPr>
            <w:tcW w:w="643" w:type="pct"/>
            <w:shd w:val="clear" w:color="000000" w:fill="FFFFFF"/>
            <w:vAlign w:val="center"/>
          </w:tcPr>
          <w:p w14:paraId="1E7B12D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70</w:t>
            </w:r>
          </w:p>
        </w:tc>
      </w:tr>
    </w:tbl>
    <w:p w14:paraId="0E8AB962" w14:textId="77777777" w:rsidR="00A15718" w:rsidRPr="00A15718" w:rsidRDefault="00A15718" w:rsidP="00A15718">
      <w:pPr>
        <w:spacing w:before="120" w:after="120" w:line="276" w:lineRule="auto"/>
        <w:jc w:val="both"/>
        <w:rPr>
          <w:rFonts w:ascii="Arial" w:hAnsi="Arial" w:cs="Arial"/>
          <w:sz w:val="24"/>
          <w:szCs w:val="24"/>
        </w:rPr>
      </w:pPr>
      <w:r w:rsidRPr="00A15718">
        <w:rPr>
          <w:rFonts w:ascii="Arial" w:hAnsi="Arial" w:cs="Arial"/>
          <w:sz w:val="24"/>
          <w:szCs w:val="24"/>
        </w:rPr>
        <w:t xml:space="preserve">Non-disabled staff are the largest group across all pay quartiles, with second largest being either unspecified or not declared depending on quartile. The unspecified group peaks in Quartile 4, whereas numbers that have not declared peak in Quartile 3. The number in both the prefer not to answer group and those answering yes to having a disability decrease as the quartiles increase. </w:t>
      </w:r>
    </w:p>
    <w:p w14:paraId="63783F2F"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Disability Local Clinical Excellence Awards Bonus Payments 2025</w:t>
      </w:r>
    </w:p>
    <w:p w14:paraId="171CCB83" w14:textId="77777777" w:rsidR="00A15718" w:rsidRPr="00A15718" w:rsidRDefault="00A15718" w:rsidP="00A15718">
      <w:pPr>
        <w:pStyle w:val="ListParagraph"/>
        <w:numPr>
          <w:ilvl w:val="0"/>
          <w:numId w:val="6"/>
        </w:numPr>
        <w:spacing w:after="120" w:line="276" w:lineRule="auto"/>
        <w:contextualSpacing w:val="0"/>
        <w:jc w:val="both"/>
        <w:rPr>
          <w:rFonts w:ascii="Arial" w:eastAsia="Times New Roman" w:hAnsi="Arial" w:cs="Arial"/>
          <w:vanish/>
          <w:sz w:val="24"/>
          <w:szCs w:val="24"/>
        </w:rPr>
      </w:pPr>
    </w:p>
    <w:p w14:paraId="46B82779" w14:textId="77777777" w:rsidR="00A15718" w:rsidRPr="00A15718" w:rsidRDefault="00A15718" w:rsidP="00A15718">
      <w:pPr>
        <w:spacing w:after="120" w:line="276" w:lineRule="auto"/>
        <w:jc w:val="both"/>
        <w:rPr>
          <w:rFonts w:ascii="Arial" w:eastAsia="Times New Roman" w:hAnsi="Arial" w:cs="Arial"/>
          <w:sz w:val="24"/>
          <w:szCs w:val="24"/>
        </w:rPr>
      </w:pPr>
      <w:r w:rsidRPr="00A15718">
        <w:rPr>
          <w:rFonts w:ascii="Arial" w:eastAsia="Times New Roman" w:hAnsi="Arial" w:cs="Arial"/>
          <w:sz w:val="24"/>
          <w:szCs w:val="24"/>
        </w:rPr>
        <w:t xml:space="preserve">163 </w:t>
      </w:r>
      <w:r w:rsidRPr="00A15718">
        <w:rPr>
          <w:rFonts w:ascii="Arial" w:hAnsi="Arial" w:cs="Arial"/>
          <w:sz w:val="24"/>
          <w:szCs w:val="24"/>
        </w:rPr>
        <w:t>bonus</w:t>
      </w:r>
      <w:r w:rsidRPr="00A15718">
        <w:rPr>
          <w:rFonts w:ascii="Arial" w:eastAsia="Times New Roman" w:hAnsi="Arial" w:cs="Arial"/>
          <w:sz w:val="24"/>
          <w:szCs w:val="24"/>
        </w:rPr>
        <w:t xml:space="preserve"> payments were made to medical and dental staff in 2025. There are 7 (4%) that have declared a disability, compared to 82 (50%) who have declared they have no disability, with 72 (44%) of those not declaring their disability status, and 2 (1%) with an unspecified disability declaration.</w:t>
      </w:r>
    </w:p>
    <w:p w14:paraId="3E894A72"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Disability Pay Gap Conclusion</w:t>
      </w:r>
    </w:p>
    <w:p w14:paraId="33F9CAA9" w14:textId="77777777" w:rsidR="00A15718" w:rsidRPr="00A15718" w:rsidRDefault="00A15718" w:rsidP="00A15718">
      <w:pPr>
        <w:pStyle w:val="ListParagraph"/>
        <w:numPr>
          <w:ilvl w:val="0"/>
          <w:numId w:val="6"/>
        </w:numPr>
        <w:spacing w:line="276" w:lineRule="auto"/>
        <w:contextualSpacing w:val="0"/>
        <w:jc w:val="both"/>
        <w:rPr>
          <w:rFonts w:ascii="Arial" w:hAnsi="Arial" w:cs="Arial"/>
          <w:vanish/>
          <w:color w:val="000000" w:themeColor="text1"/>
          <w:sz w:val="24"/>
          <w:szCs w:val="24"/>
        </w:rPr>
      </w:pPr>
    </w:p>
    <w:p w14:paraId="10E087AB"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color w:val="000000" w:themeColor="text1"/>
          <w:sz w:val="24"/>
          <w:szCs w:val="24"/>
        </w:rPr>
        <w:t>The 2025 Disability Pay Gap for Gloucestershire Hospitals NHS Foundation Trust is 13.1</w:t>
      </w:r>
      <w:r w:rsidRPr="00A15718">
        <w:rPr>
          <w:rFonts w:ascii="Arial" w:hAnsi="Arial" w:cs="Arial"/>
          <w:sz w:val="24"/>
          <w:szCs w:val="24"/>
        </w:rPr>
        <w:t>% in favour of non</w:t>
      </w:r>
      <w:r w:rsidRPr="00A15718">
        <w:rPr>
          <w:rFonts w:ascii="Arial" w:hAnsi="Arial" w:cs="Arial"/>
          <w:sz w:val="24"/>
          <w:szCs w:val="24"/>
        </w:rPr>
        <w:noBreakHyphen/>
        <w:t>disabled staff.</w:t>
      </w:r>
    </w:p>
    <w:p w14:paraId="64BB9A89"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lastRenderedPageBreak/>
        <w:t>Disabled staff are underrepresented in higher</w:t>
      </w:r>
      <w:r w:rsidRPr="00A15718">
        <w:rPr>
          <w:rFonts w:ascii="Arial" w:hAnsi="Arial" w:cs="Arial"/>
          <w:sz w:val="24"/>
          <w:szCs w:val="24"/>
        </w:rPr>
        <w:noBreakHyphen/>
        <w:t>banded roles and more likely to work in lower</w:t>
      </w:r>
      <w:r w:rsidRPr="00A15718">
        <w:rPr>
          <w:rFonts w:ascii="Arial" w:hAnsi="Arial" w:cs="Arial"/>
          <w:sz w:val="24"/>
          <w:szCs w:val="24"/>
        </w:rPr>
        <w:noBreakHyphen/>
        <w:t>banded, frontline, or part</w:t>
      </w:r>
      <w:r w:rsidRPr="00A15718">
        <w:rPr>
          <w:rFonts w:ascii="Arial" w:hAnsi="Arial" w:cs="Arial"/>
          <w:sz w:val="24"/>
          <w:szCs w:val="24"/>
        </w:rPr>
        <w:noBreakHyphen/>
        <w:t>time positions, which can reduce average earnings. Some colleagues may also face barriers to progression, including limited access to development opportunities or challenges securing workplace adjustments, as reflected in staff survey feedback. Non</w:t>
      </w:r>
      <w:r w:rsidRPr="00A15718">
        <w:rPr>
          <w:rFonts w:ascii="Arial" w:hAnsi="Arial" w:cs="Arial"/>
          <w:sz w:val="24"/>
          <w:szCs w:val="24"/>
        </w:rPr>
        <w:noBreakHyphen/>
        <w:t>disabled staff are more likely to hold senior roles, which contributes to the overall gap.</w:t>
      </w:r>
    </w:p>
    <w:p w14:paraId="0C2468D1" w14:textId="77777777" w:rsidR="00A15718" w:rsidRPr="00A15718" w:rsidRDefault="00A15718" w:rsidP="00A15718">
      <w:pPr>
        <w:spacing w:after="120" w:line="276" w:lineRule="auto"/>
        <w:jc w:val="both"/>
        <w:rPr>
          <w:rFonts w:ascii="Arial" w:hAnsi="Arial" w:cs="Arial"/>
          <w:color w:val="000000" w:themeColor="text1"/>
          <w:sz w:val="24"/>
          <w:szCs w:val="24"/>
        </w:rPr>
      </w:pPr>
      <w:r w:rsidRPr="00A15718">
        <w:rPr>
          <w:rFonts w:ascii="Arial" w:hAnsi="Arial" w:cs="Arial"/>
          <w:sz w:val="24"/>
          <w:szCs w:val="24"/>
        </w:rPr>
        <w:t>Publishing this data helps the Trust identify where improvement is needed and focus on creating a more inclusive and supportive environment for disabled colleagues</w:t>
      </w:r>
      <w:r w:rsidRPr="00A15718">
        <w:rPr>
          <w:rFonts w:ascii="Arial" w:hAnsi="Arial" w:cs="Arial"/>
          <w:color w:val="000000" w:themeColor="text1"/>
          <w:sz w:val="24"/>
          <w:szCs w:val="24"/>
        </w:rPr>
        <w:t>. Our priority is to strengthen access to development, progression pathways, and appropriate adjustments so that all staff can thrive and progress equitably within the organisation.</w:t>
      </w:r>
    </w:p>
    <w:p w14:paraId="07D70451"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Recommendations and Actions</w:t>
      </w:r>
    </w:p>
    <w:tbl>
      <w:tblPr>
        <w:tblStyle w:val="TableGrid"/>
        <w:tblW w:w="5000" w:type="pct"/>
        <w:tblLook w:val="04A0" w:firstRow="1" w:lastRow="0" w:firstColumn="1" w:lastColumn="0" w:noHBand="0" w:noVBand="1"/>
      </w:tblPr>
      <w:tblGrid>
        <w:gridCol w:w="505"/>
        <w:gridCol w:w="8511"/>
      </w:tblGrid>
      <w:tr w:rsidR="00A15718" w:rsidRPr="00A15718" w14:paraId="5FAFB4BF" w14:textId="77777777" w:rsidTr="0081318F">
        <w:trPr>
          <w:trHeight w:val="1020"/>
        </w:trPr>
        <w:tc>
          <w:tcPr>
            <w:tcW w:w="280" w:type="pct"/>
            <w:vAlign w:val="center"/>
          </w:tcPr>
          <w:p w14:paraId="03FABAE0"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1</w:t>
            </w:r>
          </w:p>
        </w:tc>
        <w:tc>
          <w:tcPr>
            <w:tcW w:w="4720" w:type="pct"/>
            <w:vAlign w:val="center"/>
          </w:tcPr>
          <w:p w14:paraId="44DFC5EB"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Inclusive recruitment</w:t>
            </w:r>
          </w:p>
          <w:p w14:paraId="57B89818" w14:textId="77777777" w:rsidR="00A15718" w:rsidRPr="00A15718" w:rsidRDefault="00A15718" w:rsidP="0081318F">
            <w:pPr>
              <w:spacing w:after="100" w:afterAutospacing="1"/>
              <w:rPr>
                <w:rFonts w:ascii="Arial" w:eastAsia="Times New Roman" w:hAnsi="Arial" w:cs="Arial"/>
              </w:rPr>
            </w:pPr>
            <w:r w:rsidRPr="00A15718">
              <w:rPr>
                <w:rFonts w:ascii="Arial" w:eastAsia="Times New Roman" w:hAnsi="Arial" w:cs="Arial"/>
              </w:rPr>
              <w:t xml:space="preserve">Establish an Inclusive Recruitment task and finish group to identify recruitment barriers, including EDI-related issues, and implement improvements to deliver fairer, more inclusive hiring. </w:t>
            </w:r>
          </w:p>
        </w:tc>
      </w:tr>
      <w:tr w:rsidR="00A15718" w:rsidRPr="00A15718" w14:paraId="7333607F" w14:textId="77777777" w:rsidTr="0081318F">
        <w:trPr>
          <w:trHeight w:val="1020"/>
        </w:trPr>
        <w:tc>
          <w:tcPr>
            <w:tcW w:w="280" w:type="pct"/>
            <w:vAlign w:val="center"/>
          </w:tcPr>
          <w:p w14:paraId="72B5F008"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2</w:t>
            </w:r>
          </w:p>
        </w:tc>
        <w:tc>
          <w:tcPr>
            <w:tcW w:w="4720" w:type="pct"/>
            <w:vAlign w:val="center"/>
          </w:tcPr>
          <w:p w14:paraId="48C64B48"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Inclusion Champions</w:t>
            </w:r>
          </w:p>
          <w:p w14:paraId="7A42E40B" w14:textId="77777777" w:rsidR="00A15718" w:rsidRPr="00A15718" w:rsidRDefault="00A15718" w:rsidP="0081318F">
            <w:pPr>
              <w:rPr>
                <w:rFonts w:ascii="Arial" w:eastAsia="Times New Roman" w:hAnsi="Arial" w:cs="Arial"/>
              </w:rPr>
            </w:pPr>
            <w:r w:rsidRPr="00A15718">
              <w:rPr>
                <w:rFonts w:ascii="Arial" w:eastAsia="Times New Roman" w:hAnsi="Arial" w:cs="Arial"/>
              </w:rPr>
              <w:t>Formalise the Inclusion Champion role and operating model through a task and finish group, followed by a Trust-wide campaign to grow the champion workforce.</w:t>
            </w:r>
          </w:p>
        </w:tc>
      </w:tr>
      <w:tr w:rsidR="00A15718" w:rsidRPr="00A15718" w14:paraId="182B71AA" w14:textId="77777777" w:rsidTr="0081318F">
        <w:trPr>
          <w:trHeight w:val="1020"/>
        </w:trPr>
        <w:tc>
          <w:tcPr>
            <w:tcW w:w="280" w:type="pct"/>
            <w:vAlign w:val="center"/>
          </w:tcPr>
          <w:p w14:paraId="1509D490"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3</w:t>
            </w:r>
          </w:p>
        </w:tc>
        <w:tc>
          <w:tcPr>
            <w:tcW w:w="4720" w:type="pct"/>
            <w:vAlign w:val="center"/>
          </w:tcPr>
          <w:p w14:paraId="352C457F"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Cultural ambassadors</w:t>
            </w:r>
          </w:p>
          <w:p w14:paraId="7E72E0EA" w14:textId="77777777" w:rsidR="00A15718" w:rsidRPr="00A15718" w:rsidRDefault="00A15718" w:rsidP="0081318F">
            <w:pPr>
              <w:rPr>
                <w:rFonts w:ascii="Arial" w:eastAsia="Times New Roman" w:hAnsi="Arial" w:cs="Arial"/>
              </w:rPr>
            </w:pPr>
            <w:r w:rsidRPr="00A15718">
              <w:rPr>
                <w:rFonts w:ascii="Arial" w:eastAsia="Times New Roman" w:hAnsi="Arial" w:cs="Arial"/>
              </w:rPr>
              <w:t xml:space="preserve">Agree a consistent Trust approach for involvement in Employee Relations and recruitment processes. Recruit and train additional Cultural Ambassadors to meet demand.  </w:t>
            </w:r>
          </w:p>
        </w:tc>
      </w:tr>
      <w:tr w:rsidR="00A15718" w:rsidRPr="00A15718" w14:paraId="5329D246" w14:textId="77777777" w:rsidTr="0081318F">
        <w:trPr>
          <w:trHeight w:val="1020"/>
        </w:trPr>
        <w:tc>
          <w:tcPr>
            <w:tcW w:w="280" w:type="pct"/>
            <w:vAlign w:val="center"/>
          </w:tcPr>
          <w:p w14:paraId="55B43596"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4</w:t>
            </w:r>
          </w:p>
        </w:tc>
        <w:tc>
          <w:tcPr>
            <w:tcW w:w="4720" w:type="pct"/>
            <w:vAlign w:val="center"/>
          </w:tcPr>
          <w:p w14:paraId="7D78A97C"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Inclusion Networks</w:t>
            </w:r>
          </w:p>
          <w:p w14:paraId="190AECC4" w14:textId="77777777" w:rsidR="00A15718" w:rsidRPr="00A15718" w:rsidRDefault="00A15718" w:rsidP="0081318F">
            <w:pPr>
              <w:rPr>
                <w:rFonts w:ascii="Arial" w:eastAsia="Times New Roman" w:hAnsi="Arial" w:cs="Arial"/>
              </w:rPr>
            </w:pPr>
            <w:r w:rsidRPr="00A15718">
              <w:rPr>
                <w:rFonts w:ascii="Arial" w:eastAsia="Times New Roman" w:hAnsi="Arial" w:cs="Arial"/>
              </w:rPr>
              <w:t xml:space="preserve">Strengthen the purpose, governance and impact of all Inclusion Networks, supported by external expertise (Eden Charles). Seek dedicated funding for Network Chairs.  </w:t>
            </w:r>
          </w:p>
        </w:tc>
      </w:tr>
      <w:tr w:rsidR="00A15718" w:rsidRPr="00A15718" w14:paraId="12866E78" w14:textId="77777777" w:rsidTr="0081318F">
        <w:trPr>
          <w:trHeight w:val="1020"/>
        </w:trPr>
        <w:tc>
          <w:tcPr>
            <w:tcW w:w="280" w:type="pct"/>
            <w:vAlign w:val="center"/>
          </w:tcPr>
          <w:p w14:paraId="0674B4AE"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5</w:t>
            </w:r>
          </w:p>
        </w:tc>
        <w:tc>
          <w:tcPr>
            <w:tcW w:w="4720" w:type="pct"/>
            <w:vAlign w:val="center"/>
          </w:tcPr>
          <w:p w14:paraId="4644243E"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Reciprocal Mentoring (May 2026)</w:t>
            </w:r>
          </w:p>
          <w:p w14:paraId="3F2F3EBB" w14:textId="77777777" w:rsidR="00A15718" w:rsidRPr="00A15718" w:rsidRDefault="00A15718" w:rsidP="0081318F">
            <w:pPr>
              <w:rPr>
                <w:rFonts w:ascii="Arial" w:eastAsia="Times New Roman" w:hAnsi="Arial" w:cs="Arial"/>
              </w:rPr>
            </w:pPr>
            <w:r w:rsidRPr="00A15718">
              <w:rPr>
                <w:rFonts w:ascii="Arial" w:eastAsia="Times New Roman" w:hAnsi="Arial" w:cs="Arial"/>
              </w:rPr>
              <w:t xml:space="preserve">Launch a Reciprocal Mentoring Programme, pairing network members and allies with Executive and senior leaders to enhance understanding of lived experiences.  </w:t>
            </w:r>
          </w:p>
        </w:tc>
      </w:tr>
      <w:tr w:rsidR="00A15718" w:rsidRPr="00A15718" w14:paraId="7FA1A625" w14:textId="77777777" w:rsidTr="0081318F">
        <w:trPr>
          <w:trHeight w:val="1020"/>
        </w:trPr>
        <w:tc>
          <w:tcPr>
            <w:tcW w:w="280" w:type="pct"/>
            <w:vAlign w:val="center"/>
          </w:tcPr>
          <w:p w14:paraId="4A489F99"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6</w:t>
            </w:r>
          </w:p>
        </w:tc>
        <w:tc>
          <w:tcPr>
            <w:tcW w:w="4720" w:type="pct"/>
            <w:vAlign w:val="center"/>
          </w:tcPr>
          <w:p w14:paraId="5F1F9EA6"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Sexual Safety Charter</w:t>
            </w:r>
          </w:p>
          <w:p w14:paraId="5B163FFD" w14:textId="77777777" w:rsidR="00A15718" w:rsidRPr="00A15718" w:rsidRDefault="00A15718" w:rsidP="0081318F">
            <w:pPr>
              <w:rPr>
                <w:rFonts w:ascii="Arial" w:eastAsia="Times New Roman" w:hAnsi="Arial" w:cs="Arial"/>
              </w:rPr>
            </w:pPr>
            <w:r w:rsidRPr="00A15718">
              <w:rPr>
                <w:rFonts w:ascii="Arial" w:eastAsia="Times New Roman" w:hAnsi="Arial" w:cs="Arial"/>
              </w:rPr>
              <w:t>Roll out mandatory Trust-wide eLearning on “Understanding Sexual Misconduct in the Workplace” to meet national commitments.</w:t>
            </w:r>
          </w:p>
        </w:tc>
      </w:tr>
      <w:tr w:rsidR="00A15718" w:rsidRPr="00A15718" w14:paraId="3CEDAA26" w14:textId="77777777" w:rsidTr="0081318F">
        <w:trPr>
          <w:trHeight w:val="1020"/>
        </w:trPr>
        <w:tc>
          <w:tcPr>
            <w:tcW w:w="280" w:type="pct"/>
            <w:vAlign w:val="center"/>
          </w:tcPr>
          <w:p w14:paraId="776FE674"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7</w:t>
            </w:r>
          </w:p>
        </w:tc>
        <w:tc>
          <w:tcPr>
            <w:tcW w:w="4720" w:type="pct"/>
            <w:vAlign w:val="center"/>
          </w:tcPr>
          <w:p w14:paraId="1AE8EAA7"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Menopause Support</w:t>
            </w:r>
          </w:p>
          <w:p w14:paraId="747EBB8B" w14:textId="77777777" w:rsidR="00A15718" w:rsidRPr="00A15718" w:rsidRDefault="00A15718" w:rsidP="0081318F">
            <w:pPr>
              <w:spacing w:after="100" w:afterAutospacing="1"/>
              <w:rPr>
                <w:rFonts w:ascii="Arial" w:eastAsia="Times New Roman" w:hAnsi="Arial" w:cs="Arial"/>
              </w:rPr>
            </w:pPr>
            <w:r w:rsidRPr="00A15718">
              <w:rPr>
                <w:rFonts w:ascii="Arial" w:eastAsia="Times New Roman" w:hAnsi="Arial" w:cs="Arial"/>
              </w:rPr>
              <w:t>Deliver menopause workshops providing education, support and signposting to adjustment and wellbeing resources.</w:t>
            </w:r>
          </w:p>
        </w:tc>
      </w:tr>
      <w:tr w:rsidR="00A15718" w:rsidRPr="00A15718" w14:paraId="5267D869" w14:textId="77777777" w:rsidTr="0081318F">
        <w:trPr>
          <w:trHeight w:val="1020"/>
        </w:trPr>
        <w:tc>
          <w:tcPr>
            <w:tcW w:w="280" w:type="pct"/>
            <w:vAlign w:val="center"/>
          </w:tcPr>
          <w:p w14:paraId="04A547F4"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8</w:t>
            </w:r>
          </w:p>
        </w:tc>
        <w:tc>
          <w:tcPr>
            <w:tcW w:w="4720" w:type="pct"/>
            <w:vAlign w:val="center"/>
          </w:tcPr>
          <w:p w14:paraId="53C60E71"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Reasonable Adjustments</w:t>
            </w:r>
          </w:p>
          <w:p w14:paraId="7024E4BB" w14:textId="77777777" w:rsidR="00A15718" w:rsidRPr="00A15718" w:rsidRDefault="00A15718" w:rsidP="0081318F">
            <w:pPr>
              <w:spacing w:after="100" w:afterAutospacing="1"/>
              <w:rPr>
                <w:rFonts w:ascii="Arial" w:eastAsia="Times New Roman" w:hAnsi="Arial" w:cs="Arial"/>
              </w:rPr>
            </w:pPr>
            <w:r w:rsidRPr="00A15718">
              <w:rPr>
                <w:rFonts w:ascii="Arial" w:eastAsia="Times New Roman" w:hAnsi="Arial" w:cs="Arial"/>
              </w:rPr>
              <w:t xml:space="preserve">Improve manager capability and streamline support pathways for staff seeking reasonable adjustments, aligned with policy expectations. </w:t>
            </w:r>
          </w:p>
        </w:tc>
      </w:tr>
      <w:tr w:rsidR="00A15718" w:rsidRPr="00A15718" w14:paraId="3553E087" w14:textId="77777777" w:rsidTr="0081318F">
        <w:trPr>
          <w:trHeight w:val="1020"/>
        </w:trPr>
        <w:tc>
          <w:tcPr>
            <w:tcW w:w="280" w:type="pct"/>
            <w:vAlign w:val="center"/>
          </w:tcPr>
          <w:p w14:paraId="74E6255C"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9</w:t>
            </w:r>
          </w:p>
        </w:tc>
        <w:tc>
          <w:tcPr>
            <w:tcW w:w="4720" w:type="pct"/>
            <w:vAlign w:val="center"/>
          </w:tcPr>
          <w:p w14:paraId="3C3425DF"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WRES and WDES action plan</w:t>
            </w:r>
          </w:p>
          <w:p w14:paraId="379DA1C5" w14:textId="77777777" w:rsidR="00A15718" w:rsidRPr="00A15718" w:rsidRDefault="00A15718" w:rsidP="0081318F">
            <w:pPr>
              <w:spacing w:after="100" w:afterAutospacing="1"/>
              <w:rPr>
                <w:rFonts w:ascii="Arial" w:eastAsia="Times New Roman" w:hAnsi="Arial" w:cs="Arial"/>
              </w:rPr>
            </w:pPr>
            <w:r w:rsidRPr="00A15718">
              <w:rPr>
                <w:rFonts w:ascii="Arial" w:eastAsia="Times New Roman" w:hAnsi="Arial" w:cs="Arial"/>
              </w:rPr>
              <w:lastRenderedPageBreak/>
              <w:t>Continue delivery of Workforce Race Equality Standard and Workforce Disability Equality Standard action plans, focusing on measurable improvements in staff experience and outcome.</w:t>
            </w:r>
          </w:p>
        </w:tc>
      </w:tr>
    </w:tbl>
    <w:p w14:paraId="0B79DE74" w14:textId="77777777" w:rsidR="00A15718" w:rsidRPr="00A15718" w:rsidRDefault="00A15718" w:rsidP="00A15718">
      <w:pPr>
        <w:spacing w:after="120" w:line="276" w:lineRule="auto"/>
        <w:jc w:val="both"/>
        <w:rPr>
          <w:rFonts w:ascii="Arial" w:hAnsi="Arial" w:cs="Arial"/>
          <w:color w:val="000000" w:themeColor="text1"/>
          <w:sz w:val="24"/>
          <w:szCs w:val="24"/>
        </w:rPr>
      </w:pPr>
    </w:p>
    <w:p w14:paraId="17DACEFA" w14:textId="77777777" w:rsidR="00A15718" w:rsidRPr="00A15718" w:rsidRDefault="00A15718" w:rsidP="00A15718">
      <w:pPr>
        <w:rPr>
          <w:rFonts w:ascii="Arial" w:hAnsi="Arial" w:cs="Arial"/>
          <w:sz w:val="24"/>
          <w:szCs w:val="24"/>
        </w:rPr>
      </w:pPr>
    </w:p>
    <w:sectPr w:rsidR="00A15718" w:rsidRPr="00A15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F41"/>
    <w:multiLevelType w:val="multilevel"/>
    <w:tmpl w:val="DB861EEE"/>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8C645E7"/>
    <w:multiLevelType w:val="hybridMultilevel"/>
    <w:tmpl w:val="DF8A2C04"/>
    <w:lvl w:ilvl="0" w:tplc="D0CEE3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05C62"/>
    <w:multiLevelType w:val="multilevel"/>
    <w:tmpl w:val="83782CF2"/>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2E4F5F"/>
    <w:multiLevelType w:val="multilevel"/>
    <w:tmpl w:val="45901E2A"/>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F6E3EE4"/>
    <w:multiLevelType w:val="multilevel"/>
    <w:tmpl w:val="F536CD9C"/>
    <w:lvl w:ilvl="0">
      <w:start w:val="2"/>
      <w:numFmt w:val="decimal"/>
      <w:lvlText w:val="%1."/>
      <w:lvlJc w:val="left"/>
      <w:pPr>
        <w:ind w:left="390" w:hanging="39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29C3BF9"/>
    <w:multiLevelType w:val="multilevel"/>
    <w:tmpl w:val="F536CD9C"/>
    <w:lvl w:ilvl="0">
      <w:start w:val="2"/>
      <w:numFmt w:val="decimal"/>
      <w:lvlText w:val="%1."/>
      <w:lvlJc w:val="left"/>
      <w:pPr>
        <w:ind w:left="390" w:hanging="39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D7F7C10"/>
    <w:multiLevelType w:val="multilevel"/>
    <w:tmpl w:val="2F90096E"/>
    <w:lvl w:ilvl="0">
      <w:start w:val="6"/>
      <w:numFmt w:val="decimal"/>
      <w:lvlText w:val="%1."/>
      <w:lvlJc w:val="left"/>
      <w:pPr>
        <w:ind w:left="532" w:hanging="390"/>
      </w:pPr>
      <w:rPr>
        <w:rFonts w:hint="default"/>
        <w:sz w:val="24"/>
        <w:szCs w:val="24"/>
      </w:rPr>
    </w:lvl>
    <w:lvl w:ilvl="1">
      <w:start w:val="1"/>
      <w:numFmt w:val="decimal"/>
      <w:lvlText w:val="%1.%2."/>
      <w:lvlJc w:val="left"/>
      <w:pPr>
        <w:ind w:left="1440" w:hanging="720"/>
      </w:pPr>
      <w:rPr>
        <w:rFonts w:hint="default"/>
        <w:b w:val="0"/>
        <w:bCs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F8105B4"/>
    <w:multiLevelType w:val="multilevel"/>
    <w:tmpl w:val="2F90096E"/>
    <w:lvl w:ilvl="0">
      <w:start w:val="6"/>
      <w:numFmt w:val="decimal"/>
      <w:lvlText w:val="%1."/>
      <w:lvlJc w:val="left"/>
      <w:pPr>
        <w:ind w:left="532" w:hanging="390"/>
      </w:pPr>
      <w:rPr>
        <w:rFonts w:hint="default"/>
        <w:sz w:val="24"/>
        <w:szCs w:val="24"/>
      </w:rPr>
    </w:lvl>
    <w:lvl w:ilvl="1">
      <w:start w:val="1"/>
      <w:numFmt w:val="decimal"/>
      <w:lvlText w:val="%1.%2."/>
      <w:lvlJc w:val="left"/>
      <w:pPr>
        <w:ind w:left="1440" w:hanging="720"/>
      </w:pPr>
      <w:rPr>
        <w:rFonts w:hint="default"/>
        <w:b w:val="0"/>
        <w:bCs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3CD414D"/>
    <w:multiLevelType w:val="multilevel"/>
    <w:tmpl w:val="CE8C862A"/>
    <w:lvl w:ilvl="0">
      <w:start w:val="1"/>
      <w:numFmt w:val="decimal"/>
      <w:lvlText w:val="%1."/>
      <w:lvlJc w:val="left"/>
      <w:pPr>
        <w:ind w:left="495" w:hanging="49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9366D9E"/>
    <w:multiLevelType w:val="multilevel"/>
    <w:tmpl w:val="3044017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698D0F6A"/>
    <w:multiLevelType w:val="multilevel"/>
    <w:tmpl w:val="F536CD9C"/>
    <w:lvl w:ilvl="0">
      <w:start w:val="2"/>
      <w:numFmt w:val="decimal"/>
      <w:lvlText w:val="%1."/>
      <w:lvlJc w:val="left"/>
      <w:pPr>
        <w:ind w:left="390" w:hanging="39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E91080C"/>
    <w:multiLevelType w:val="hybridMultilevel"/>
    <w:tmpl w:val="ACEA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FD2268"/>
    <w:multiLevelType w:val="multilevel"/>
    <w:tmpl w:val="F536CD9C"/>
    <w:lvl w:ilvl="0">
      <w:start w:val="2"/>
      <w:numFmt w:val="decimal"/>
      <w:lvlText w:val="%1."/>
      <w:lvlJc w:val="left"/>
      <w:pPr>
        <w:ind w:left="390" w:hanging="39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7DE47026"/>
    <w:multiLevelType w:val="multilevel"/>
    <w:tmpl w:val="823CB364"/>
    <w:lvl w:ilvl="0">
      <w:start w:val="2"/>
      <w:numFmt w:val="decimal"/>
      <w:lvlText w:val="%1."/>
      <w:lvlJc w:val="left"/>
      <w:pPr>
        <w:ind w:left="390" w:hanging="390"/>
      </w:pPr>
      <w:rPr>
        <w:rFonts w:hint="default"/>
      </w:rPr>
    </w:lvl>
    <w:lvl w:ilvl="1">
      <w:start w:val="1"/>
      <w:numFmt w:val="bullet"/>
      <w:lvlText w:val=""/>
      <w:lvlJc w:val="left"/>
      <w:pPr>
        <w:ind w:left="720" w:hanging="360"/>
      </w:pPr>
      <w:rPr>
        <w:rFonts w:ascii="Symbol" w:hAnsi="Symbo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651062876">
    <w:abstractNumId w:val="2"/>
  </w:num>
  <w:num w:numId="2" w16cid:durableId="1224179691">
    <w:abstractNumId w:val="8"/>
  </w:num>
  <w:num w:numId="3" w16cid:durableId="140274251">
    <w:abstractNumId w:val="9"/>
  </w:num>
  <w:num w:numId="4" w16cid:durableId="1773354948">
    <w:abstractNumId w:val="0"/>
  </w:num>
  <w:num w:numId="5" w16cid:durableId="1150366445">
    <w:abstractNumId w:val="3"/>
  </w:num>
  <w:num w:numId="6" w16cid:durableId="587229856">
    <w:abstractNumId w:val="7"/>
  </w:num>
  <w:num w:numId="7" w16cid:durableId="1820532270">
    <w:abstractNumId w:val="1"/>
  </w:num>
  <w:num w:numId="8" w16cid:durableId="1995722966">
    <w:abstractNumId w:val="4"/>
  </w:num>
  <w:num w:numId="9" w16cid:durableId="1030760016">
    <w:abstractNumId w:val="13"/>
  </w:num>
  <w:num w:numId="10" w16cid:durableId="248199905">
    <w:abstractNumId w:val="12"/>
  </w:num>
  <w:num w:numId="11" w16cid:durableId="1161893941">
    <w:abstractNumId w:val="10"/>
  </w:num>
  <w:num w:numId="12" w16cid:durableId="1162936947">
    <w:abstractNumId w:val="5"/>
  </w:num>
  <w:num w:numId="13" w16cid:durableId="1070615556">
    <w:abstractNumId w:val="6"/>
  </w:num>
  <w:num w:numId="14" w16cid:durableId="457336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18"/>
    <w:rsid w:val="00020E72"/>
    <w:rsid w:val="001E270A"/>
    <w:rsid w:val="00223F1B"/>
    <w:rsid w:val="00332F74"/>
    <w:rsid w:val="00666AF9"/>
    <w:rsid w:val="00926825"/>
    <w:rsid w:val="009E6DA0"/>
    <w:rsid w:val="00A15718"/>
    <w:rsid w:val="00B3374E"/>
    <w:rsid w:val="00B7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91F4"/>
  <w15:chartTrackingRefBased/>
  <w15:docId w15:val="{237B236A-202C-4C55-963E-09BF917E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718"/>
    <w:rPr>
      <w:rFonts w:eastAsiaTheme="majorEastAsia" w:cstheme="majorBidi"/>
      <w:color w:val="272727" w:themeColor="text1" w:themeTint="D8"/>
    </w:rPr>
  </w:style>
  <w:style w:type="paragraph" w:styleId="Title">
    <w:name w:val="Title"/>
    <w:basedOn w:val="Normal"/>
    <w:next w:val="Normal"/>
    <w:link w:val="TitleChar"/>
    <w:uiPriority w:val="10"/>
    <w:qFormat/>
    <w:rsid w:val="00A15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718"/>
    <w:pPr>
      <w:spacing w:before="160"/>
      <w:jc w:val="center"/>
    </w:pPr>
    <w:rPr>
      <w:i/>
      <w:iCs/>
      <w:color w:val="404040" w:themeColor="text1" w:themeTint="BF"/>
    </w:rPr>
  </w:style>
  <w:style w:type="character" w:customStyle="1" w:styleId="QuoteChar">
    <w:name w:val="Quote Char"/>
    <w:basedOn w:val="DefaultParagraphFont"/>
    <w:link w:val="Quote"/>
    <w:uiPriority w:val="29"/>
    <w:rsid w:val="00A15718"/>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Bullet Point,normal,Body,lp1"/>
    <w:basedOn w:val="Normal"/>
    <w:link w:val="ListParagraphChar"/>
    <w:uiPriority w:val="34"/>
    <w:qFormat/>
    <w:rsid w:val="00A15718"/>
    <w:pPr>
      <w:ind w:left="720"/>
      <w:contextualSpacing/>
    </w:pPr>
  </w:style>
  <w:style w:type="character" w:styleId="IntenseEmphasis">
    <w:name w:val="Intense Emphasis"/>
    <w:basedOn w:val="DefaultParagraphFont"/>
    <w:uiPriority w:val="21"/>
    <w:qFormat/>
    <w:rsid w:val="00A15718"/>
    <w:rPr>
      <w:i/>
      <w:iCs/>
      <w:color w:val="0F4761" w:themeColor="accent1" w:themeShade="BF"/>
    </w:rPr>
  </w:style>
  <w:style w:type="paragraph" w:styleId="IntenseQuote">
    <w:name w:val="Intense Quote"/>
    <w:basedOn w:val="Normal"/>
    <w:next w:val="Normal"/>
    <w:link w:val="IntenseQuoteChar"/>
    <w:uiPriority w:val="30"/>
    <w:qFormat/>
    <w:rsid w:val="00A15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718"/>
    <w:rPr>
      <w:i/>
      <w:iCs/>
      <w:color w:val="0F4761" w:themeColor="accent1" w:themeShade="BF"/>
    </w:rPr>
  </w:style>
  <w:style w:type="character" w:styleId="IntenseReference">
    <w:name w:val="Intense Reference"/>
    <w:basedOn w:val="DefaultParagraphFont"/>
    <w:uiPriority w:val="32"/>
    <w:qFormat/>
    <w:rsid w:val="00A15718"/>
    <w:rPr>
      <w:b/>
      <w:bCs/>
      <w:smallCaps/>
      <w:color w:val="0F4761" w:themeColor="accent1" w:themeShade="BF"/>
      <w:spacing w:val="5"/>
    </w:rPr>
  </w:style>
  <w:style w:type="table" w:styleId="TableGrid">
    <w:name w:val="Table Grid"/>
    <w:basedOn w:val="TableNormal"/>
    <w:uiPriority w:val="39"/>
    <w:rsid w:val="00A1571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A15718"/>
  </w:style>
  <w:style w:type="character" w:styleId="Strong">
    <w:name w:val="Strong"/>
    <w:basedOn w:val="DefaultParagraphFont"/>
    <w:uiPriority w:val="22"/>
    <w:qFormat/>
    <w:rsid w:val="00A157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glos.nhs.uk\ghnhst\Equality,%20Diversity%20and%20Inclusion%20Team\Reports\Gender%20Pay%20Gap\GPG%202026\Data\NHS%20Gender%20Pay%20Gap%20Ordinary%20Pay%20by%20Person%203103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los.nhs.uk\ghnhst\Equality,%20Diversity%20and%20Inclusion%20Team\Reports\Gender%20Pay%20Gap\GPG%202026\Data\NHS%20Gender%20Pay%20Gap%20Ordinary%20Pay%20by%20Person%2026%20Medical%20Staff%203103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21877504832849"/>
          <c:y val="3.9399272951843575E-2"/>
          <c:w val="0.73068854417149953"/>
          <c:h val="0.81252880823052198"/>
        </c:manualLayout>
      </c:layout>
      <c:barChart>
        <c:barDir val="bar"/>
        <c:grouping val="clustered"/>
        <c:varyColors val="0"/>
        <c:ser>
          <c:idx val="1"/>
          <c:order val="0"/>
          <c:tx>
            <c:strRef>
              <c:f>Sheet1!$I$3</c:f>
              <c:strCache>
                <c:ptCount val="1"/>
                <c:pt idx="0">
                  <c:v>Male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Sheet1!$I$4:$I$7</c:f>
              <c:numCache>
                <c:formatCode>0.00</c:formatCode>
                <c:ptCount val="4"/>
                <c:pt idx="0">
                  <c:v>17.1760654326302</c:v>
                </c:pt>
                <c:pt idx="1">
                  <c:v>17.497886728655999</c:v>
                </c:pt>
                <c:pt idx="2">
                  <c:v>15.7575757575758</c:v>
                </c:pt>
                <c:pt idx="3">
                  <c:v>36.928241712127601</c:v>
                </c:pt>
              </c:numCache>
            </c:numRef>
          </c:val>
          <c:extLst>
            <c:ext xmlns:c16="http://schemas.microsoft.com/office/drawing/2014/chart" uri="{C3380CC4-5D6E-409C-BE32-E72D297353CC}">
              <c16:uniqueId val="{00000000-4F51-4D7A-A486-2CD68888A199}"/>
            </c:ext>
          </c:extLst>
        </c:ser>
        <c:ser>
          <c:idx val="0"/>
          <c:order val="1"/>
          <c:tx>
            <c:strRef>
              <c:f>Sheet1!$H$3</c:f>
              <c:strCache>
                <c:ptCount val="1"/>
                <c:pt idx="0">
                  <c:v>Female %</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Sheet1!$H$4:$H$7</c:f>
              <c:numCache>
                <c:formatCode>0.00</c:formatCode>
                <c:ptCount val="4"/>
                <c:pt idx="0">
                  <c:v>82.823934567369804</c:v>
                </c:pt>
                <c:pt idx="1">
                  <c:v>82.502113271344001</c:v>
                </c:pt>
                <c:pt idx="2">
                  <c:v>84.242424242424207</c:v>
                </c:pt>
                <c:pt idx="3">
                  <c:v>63.071758287872399</c:v>
                </c:pt>
              </c:numCache>
            </c:numRef>
          </c:val>
          <c:extLst>
            <c:ext xmlns:c16="http://schemas.microsoft.com/office/drawing/2014/chart" uri="{C3380CC4-5D6E-409C-BE32-E72D297353CC}">
              <c16:uniqueId val="{00000001-4F51-4D7A-A486-2CD68888A199}"/>
            </c:ext>
          </c:extLst>
        </c:ser>
        <c:dLbls>
          <c:dLblPos val="outEnd"/>
          <c:showLegendKey val="0"/>
          <c:showVal val="1"/>
          <c:showCatName val="0"/>
          <c:showSerName val="0"/>
          <c:showPercent val="0"/>
          <c:showBubbleSize val="0"/>
        </c:dLbls>
        <c:gapWidth val="182"/>
        <c:axId val="1139458943"/>
        <c:axId val="1139466143"/>
      </c:barChart>
      <c:catAx>
        <c:axId val="11394589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9466143"/>
        <c:crosses val="autoZero"/>
        <c:auto val="1"/>
        <c:lblAlgn val="ctr"/>
        <c:lblOffset val="100"/>
        <c:noMultiLvlLbl val="0"/>
      </c:catAx>
      <c:valAx>
        <c:axId val="1139466143"/>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139458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16372953380829"/>
          <c:y val="3.3670703442771406E-2"/>
          <c:w val="0.76163104611923504"/>
          <c:h val="0.77958649905603905"/>
        </c:manualLayout>
      </c:layout>
      <c:barChart>
        <c:barDir val="bar"/>
        <c:grouping val="clustered"/>
        <c:varyColors val="0"/>
        <c:ser>
          <c:idx val="1"/>
          <c:order val="0"/>
          <c:tx>
            <c:strRef>
              <c:f>Sheet1!$I$3</c:f>
              <c:strCache>
                <c:ptCount val="1"/>
                <c:pt idx="0">
                  <c:v>Male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Sheet1!$I$4:$I$7</c:f>
              <c:numCache>
                <c:formatCode>0.00</c:formatCode>
                <c:ptCount val="4"/>
                <c:pt idx="0">
                  <c:v>16.277678037103499</c:v>
                </c:pt>
                <c:pt idx="1">
                  <c:v>17.872117400419299</c:v>
                </c:pt>
                <c:pt idx="2">
                  <c:v>14.095127610208801</c:v>
                </c:pt>
                <c:pt idx="3">
                  <c:v>17.428725121032802</c:v>
                </c:pt>
              </c:numCache>
            </c:numRef>
          </c:val>
          <c:extLst>
            <c:ext xmlns:c16="http://schemas.microsoft.com/office/drawing/2014/chart" uri="{C3380CC4-5D6E-409C-BE32-E72D297353CC}">
              <c16:uniqueId val="{00000000-7DD3-4CD8-90E3-7676E38AE831}"/>
            </c:ext>
          </c:extLst>
        </c:ser>
        <c:ser>
          <c:idx val="0"/>
          <c:order val="1"/>
          <c:tx>
            <c:strRef>
              <c:f>Sheet1!$H$3</c:f>
              <c:strCache>
                <c:ptCount val="1"/>
                <c:pt idx="0">
                  <c:v>Female %</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Sheet1!$H$4:$H$7</c:f>
              <c:numCache>
                <c:formatCode>0.00</c:formatCode>
                <c:ptCount val="4"/>
                <c:pt idx="0">
                  <c:v>83.722321962896501</c:v>
                </c:pt>
                <c:pt idx="1">
                  <c:v>82.127882599580701</c:v>
                </c:pt>
                <c:pt idx="2">
                  <c:v>85.904872389791194</c:v>
                </c:pt>
                <c:pt idx="3">
                  <c:v>82.571274878967202</c:v>
                </c:pt>
              </c:numCache>
            </c:numRef>
          </c:val>
          <c:extLst>
            <c:ext xmlns:c16="http://schemas.microsoft.com/office/drawing/2014/chart" uri="{C3380CC4-5D6E-409C-BE32-E72D297353CC}">
              <c16:uniqueId val="{00000001-7DD3-4CD8-90E3-7676E38AE831}"/>
            </c:ext>
          </c:extLst>
        </c:ser>
        <c:dLbls>
          <c:dLblPos val="outEnd"/>
          <c:showLegendKey val="0"/>
          <c:showVal val="1"/>
          <c:showCatName val="0"/>
          <c:showSerName val="0"/>
          <c:showPercent val="0"/>
          <c:showBubbleSize val="0"/>
        </c:dLbls>
        <c:gapWidth val="182"/>
        <c:axId val="856140415"/>
        <c:axId val="856135135"/>
      </c:barChart>
      <c:catAx>
        <c:axId val="8561404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135135"/>
        <c:crosses val="autoZero"/>
        <c:auto val="1"/>
        <c:lblAlgn val="ctr"/>
        <c:lblOffset val="100"/>
        <c:noMultiLvlLbl val="0"/>
      </c:catAx>
      <c:valAx>
        <c:axId val="856135135"/>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56140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87506561679789"/>
          <c:y val="8.0145719489981782E-2"/>
          <c:w val="0.74039653932147376"/>
          <c:h val="0.67304103380520053"/>
        </c:manualLayout>
      </c:layout>
      <c:barChart>
        <c:barDir val="bar"/>
        <c:grouping val="clustered"/>
        <c:varyColors val="0"/>
        <c:ser>
          <c:idx val="1"/>
          <c:order val="0"/>
          <c:tx>
            <c:strRef>
              <c:f>Sheet1!$I$3</c:f>
              <c:strCache>
                <c:ptCount val="1"/>
                <c:pt idx="0">
                  <c:v>Male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Sheet1!$I$4:$I$7</c:f>
              <c:numCache>
                <c:formatCode>0.00</c:formatCode>
                <c:ptCount val="4"/>
                <c:pt idx="0">
                  <c:v>37.122969837587</c:v>
                </c:pt>
                <c:pt idx="1">
                  <c:v>39.480519480519497</c:v>
                </c:pt>
                <c:pt idx="2">
                  <c:v>43.006263048016699</c:v>
                </c:pt>
                <c:pt idx="3">
                  <c:v>60.879629629629598</c:v>
                </c:pt>
              </c:numCache>
            </c:numRef>
          </c:val>
          <c:extLst>
            <c:ext xmlns:c16="http://schemas.microsoft.com/office/drawing/2014/chart" uri="{C3380CC4-5D6E-409C-BE32-E72D297353CC}">
              <c16:uniqueId val="{00000000-91AA-4588-9C50-806D303FC664}"/>
            </c:ext>
          </c:extLst>
        </c:ser>
        <c:ser>
          <c:idx val="0"/>
          <c:order val="1"/>
          <c:tx>
            <c:strRef>
              <c:f>Sheet1!$H$3</c:f>
              <c:strCache>
                <c:ptCount val="1"/>
                <c:pt idx="0">
                  <c:v>Female %</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Sheet1!$H$4:$H$7</c:f>
              <c:numCache>
                <c:formatCode>0.00</c:formatCode>
                <c:ptCount val="4"/>
                <c:pt idx="0">
                  <c:v>62.877030162413</c:v>
                </c:pt>
                <c:pt idx="1">
                  <c:v>60.519480519480503</c:v>
                </c:pt>
                <c:pt idx="2">
                  <c:v>56.993736951983301</c:v>
                </c:pt>
                <c:pt idx="3">
                  <c:v>39.120370370370402</c:v>
                </c:pt>
              </c:numCache>
            </c:numRef>
          </c:val>
          <c:extLst>
            <c:ext xmlns:c16="http://schemas.microsoft.com/office/drawing/2014/chart" uri="{C3380CC4-5D6E-409C-BE32-E72D297353CC}">
              <c16:uniqueId val="{00000001-91AA-4588-9C50-806D303FC664}"/>
            </c:ext>
          </c:extLst>
        </c:ser>
        <c:dLbls>
          <c:dLblPos val="outEnd"/>
          <c:showLegendKey val="0"/>
          <c:showVal val="1"/>
          <c:showCatName val="0"/>
          <c:showSerName val="0"/>
          <c:showPercent val="0"/>
          <c:showBubbleSize val="0"/>
        </c:dLbls>
        <c:gapWidth val="182"/>
        <c:axId val="1769483952"/>
        <c:axId val="1769478672"/>
      </c:barChart>
      <c:catAx>
        <c:axId val="1769483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9478672"/>
        <c:crosses val="autoZero"/>
        <c:auto val="1"/>
        <c:lblAlgn val="ctr"/>
        <c:lblOffset val="100"/>
        <c:noMultiLvlLbl val="0"/>
      </c:catAx>
      <c:valAx>
        <c:axId val="176947867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769483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3345</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BESTWICK, Emily (GLOUCESTERSHIRE HOSPITALS NHS FOUNDATION TRUST)</dc:creator>
  <cp:keywords/>
  <dc:description/>
  <cp:lastModifiedBy>BESTWICK, Emily (GLOUCESTERSHIRE HOSPITALS NHS FOUNDATION TRUST)</cp:lastModifiedBy>
  <cp:revision>2</cp:revision>
  <dcterms:created xsi:type="dcterms:W3CDTF">2026-05-21T10:26:00Z</dcterms:created>
  <dcterms:modified xsi:type="dcterms:W3CDTF">2026-05-21T10:26:00Z</dcterms:modified>
</cp:coreProperties>
</file>