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FC34" w14:textId="77777777" w:rsidR="00952B0E" w:rsidRDefault="00952B0E" w:rsidP="00952B0E">
      <w:pPr>
        <w:pStyle w:val="NormalWeb"/>
        <w:jc w:val="right"/>
      </w:pPr>
      <w:r>
        <w:rPr>
          <w:noProof/>
        </w:rPr>
        <w:drawing>
          <wp:inline distT="0" distB="0" distL="0" distR="0" wp14:anchorId="4C4421F8" wp14:editId="3F6BF43C">
            <wp:extent cx="2804160" cy="1184569"/>
            <wp:effectExtent l="0" t="0" r="0" b="0"/>
            <wp:docPr id="169230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5352" cy="1193521"/>
                    </a:xfrm>
                    <a:prstGeom prst="rect">
                      <a:avLst/>
                    </a:prstGeom>
                    <a:noFill/>
                    <a:ln>
                      <a:noFill/>
                    </a:ln>
                  </pic:spPr>
                </pic:pic>
              </a:graphicData>
            </a:graphic>
          </wp:inline>
        </w:drawing>
      </w:r>
    </w:p>
    <w:p w14:paraId="6EE28F5F" w14:textId="77777777" w:rsidR="002872F8" w:rsidRPr="00271024" w:rsidRDefault="002872F8" w:rsidP="002872F8">
      <w:pPr>
        <w:contextualSpacing/>
        <w:rPr>
          <w:rFonts w:ascii="Arial" w:hAnsi="Arial" w:cs="Arial"/>
        </w:rPr>
      </w:pPr>
    </w:p>
    <w:p w14:paraId="04A329A6" w14:textId="77777777" w:rsidR="002872F8" w:rsidRPr="00271024" w:rsidRDefault="002872F8" w:rsidP="002872F8">
      <w:pPr>
        <w:contextualSpacing/>
        <w:jc w:val="center"/>
        <w:rPr>
          <w:rFonts w:ascii="Arial" w:hAnsi="Arial" w:cs="Arial"/>
        </w:rPr>
      </w:pPr>
    </w:p>
    <w:p w14:paraId="3C765D28" w14:textId="086322A6" w:rsidR="002872F8" w:rsidRPr="002872F8" w:rsidRDefault="002872F8" w:rsidP="002872F8">
      <w:pPr>
        <w:spacing w:after="0"/>
        <w:contextualSpacing/>
        <w:jc w:val="center"/>
        <w:rPr>
          <w:rFonts w:ascii="Arial" w:hAnsi="Arial" w:cs="Arial"/>
          <w:b/>
          <w:sz w:val="36"/>
          <w:szCs w:val="36"/>
        </w:rPr>
      </w:pPr>
      <w:r w:rsidRPr="002872F8">
        <w:rPr>
          <w:rFonts w:ascii="Arial" w:hAnsi="Arial" w:cs="Arial"/>
          <w:b/>
          <w:color w:val="000000" w:themeColor="text1"/>
          <w:sz w:val="36"/>
          <w:szCs w:val="36"/>
        </w:rPr>
        <w:t>Intrapleural Fibrinolytics (tPA + DNase) For Pleural Infection</w:t>
      </w:r>
    </w:p>
    <w:p w14:paraId="23E09589" w14:textId="77777777" w:rsidR="002872F8" w:rsidRDefault="002872F8" w:rsidP="002872F8">
      <w:pPr>
        <w:spacing w:after="0"/>
        <w:contextualSpacing/>
        <w:rPr>
          <w:rFonts w:ascii="Arial" w:hAnsi="Arial" w:cs="Arial"/>
          <w:b/>
        </w:rPr>
      </w:pPr>
    </w:p>
    <w:p w14:paraId="79D5769E" w14:textId="77777777" w:rsidR="002872F8" w:rsidRPr="00271024" w:rsidRDefault="002872F8" w:rsidP="002872F8">
      <w:pPr>
        <w:spacing w:after="0"/>
        <w:contextualSpacing/>
        <w:rPr>
          <w:rFonts w:ascii="Arial" w:hAnsi="Arial" w:cs="Arial"/>
          <w:b/>
        </w:rPr>
      </w:pPr>
    </w:p>
    <w:p w14:paraId="0D34810A" w14:textId="77777777" w:rsidR="002872F8" w:rsidRPr="00271024" w:rsidRDefault="002872F8" w:rsidP="002872F8">
      <w:pPr>
        <w:spacing w:after="0"/>
        <w:contextualSpacing/>
        <w:rPr>
          <w:rFonts w:ascii="Arial" w:hAnsi="Arial" w:cs="Arial"/>
          <w:b/>
        </w:rPr>
      </w:pPr>
      <w:r w:rsidRPr="00271024">
        <w:rPr>
          <w:rFonts w:ascii="Arial" w:hAnsi="Arial" w:cs="Arial"/>
          <w:b/>
        </w:rPr>
        <w:t xml:space="preserve">SUMMARY </w:t>
      </w:r>
    </w:p>
    <w:p w14:paraId="32471701" w14:textId="77777777" w:rsidR="002872F8" w:rsidRPr="00271024" w:rsidRDefault="002872F8" w:rsidP="002872F8">
      <w:pPr>
        <w:pStyle w:val="ListParagraph"/>
        <w:spacing w:after="0"/>
        <w:rPr>
          <w:rFonts w:ascii="Arial" w:hAnsi="Arial" w:cs="Arial"/>
        </w:rPr>
      </w:pPr>
    </w:p>
    <w:p w14:paraId="6C4A47F1" w14:textId="77777777" w:rsidR="002872F8" w:rsidRPr="00271024" w:rsidRDefault="002872F8" w:rsidP="002872F8">
      <w:pPr>
        <w:pStyle w:val="ListParagraph"/>
        <w:numPr>
          <w:ilvl w:val="0"/>
          <w:numId w:val="2"/>
        </w:numPr>
        <w:tabs>
          <w:tab w:val="left" w:pos="426"/>
        </w:tabs>
        <w:spacing w:after="0"/>
        <w:ind w:left="425" w:hanging="425"/>
        <w:rPr>
          <w:rFonts w:ascii="Arial" w:hAnsi="Arial" w:cs="Arial"/>
        </w:rPr>
      </w:pPr>
      <w:r w:rsidRPr="00271024">
        <w:rPr>
          <w:rFonts w:ascii="Arial" w:hAnsi="Arial" w:cs="Arial"/>
        </w:rPr>
        <w:t>Patients with pleural infection should be managed with antibiotics</w:t>
      </w:r>
      <w:r>
        <w:rPr>
          <w:rFonts w:ascii="Arial" w:hAnsi="Arial" w:cs="Arial"/>
        </w:rPr>
        <w:t>, nutritional supplementation</w:t>
      </w:r>
      <w:r w:rsidRPr="00271024">
        <w:rPr>
          <w:rFonts w:ascii="Arial" w:hAnsi="Arial" w:cs="Arial"/>
        </w:rPr>
        <w:t xml:space="preserve"> and drainage</w:t>
      </w:r>
      <w:r>
        <w:rPr>
          <w:rFonts w:ascii="Arial" w:hAnsi="Arial" w:cs="Arial"/>
        </w:rPr>
        <w:t xml:space="preserve"> of the pleural cavity</w:t>
      </w:r>
      <w:r w:rsidRPr="00271024">
        <w:rPr>
          <w:rFonts w:ascii="Arial" w:hAnsi="Arial" w:cs="Arial"/>
        </w:rPr>
        <w:t xml:space="preserve"> </w:t>
      </w:r>
    </w:p>
    <w:p w14:paraId="78B6ECCC" w14:textId="77777777" w:rsidR="002872F8" w:rsidRDefault="002872F8" w:rsidP="002872F8">
      <w:pPr>
        <w:pStyle w:val="ListParagraph"/>
        <w:numPr>
          <w:ilvl w:val="0"/>
          <w:numId w:val="2"/>
        </w:numPr>
        <w:tabs>
          <w:tab w:val="left" w:pos="426"/>
        </w:tabs>
        <w:spacing w:after="0"/>
        <w:ind w:left="425" w:hanging="425"/>
        <w:rPr>
          <w:rFonts w:ascii="Arial" w:hAnsi="Arial" w:cs="Arial"/>
        </w:rPr>
      </w:pPr>
      <w:r w:rsidRPr="00271024">
        <w:rPr>
          <w:rFonts w:ascii="Arial" w:hAnsi="Arial" w:cs="Arial"/>
        </w:rPr>
        <w:t>If medical management fails</w:t>
      </w:r>
      <w:r>
        <w:rPr>
          <w:rFonts w:ascii="Arial" w:hAnsi="Arial" w:cs="Arial"/>
        </w:rPr>
        <w:t xml:space="preserve"> or is not possible</w:t>
      </w:r>
      <w:r w:rsidRPr="00271024">
        <w:rPr>
          <w:rFonts w:ascii="Arial" w:hAnsi="Arial" w:cs="Arial"/>
        </w:rPr>
        <w:t xml:space="preserve">, </w:t>
      </w:r>
      <w:r>
        <w:rPr>
          <w:rFonts w:ascii="Arial" w:hAnsi="Arial" w:cs="Arial"/>
        </w:rPr>
        <w:t>referral for</w:t>
      </w:r>
      <w:r w:rsidRPr="00271024">
        <w:rPr>
          <w:rFonts w:ascii="Arial" w:hAnsi="Arial" w:cs="Arial"/>
        </w:rPr>
        <w:t xml:space="preserve"> surgical management</w:t>
      </w:r>
      <w:r>
        <w:rPr>
          <w:rFonts w:ascii="Arial" w:hAnsi="Arial" w:cs="Arial"/>
        </w:rPr>
        <w:t xml:space="preserve"> should be considered</w:t>
      </w:r>
    </w:p>
    <w:p w14:paraId="1CA73EE1" w14:textId="77777777" w:rsidR="002872F8" w:rsidRPr="00271024" w:rsidRDefault="002872F8" w:rsidP="002872F8">
      <w:pPr>
        <w:pStyle w:val="ListParagraph"/>
        <w:numPr>
          <w:ilvl w:val="0"/>
          <w:numId w:val="2"/>
        </w:numPr>
        <w:tabs>
          <w:tab w:val="left" w:pos="426"/>
        </w:tabs>
        <w:spacing w:after="0"/>
        <w:ind w:left="425" w:hanging="425"/>
        <w:rPr>
          <w:rFonts w:ascii="Arial" w:hAnsi="Arial" w:cs="Arial"/>
        </w:rPr>
      </w:pPr>
      <w:r>
        <w:rPr>
          <w:rFonts w:ascii="Arial" w:hAnsi="Arial" w:cs="Arial"/>
        </w:rPr>
        <w:t>I</w:t>
      </w:r>
      <w:r w:rsidRPr="00271024">
        <w:rPr>
          <w:rFonts w:ascii="Arial" w:hAnsi="Arial" w:cs="Arial"/>
        </w:rPr>
        <w:t>ntrapleural fibrinoly</w:t>
      </w:r>
      <w:r>
        <w:rPr>
          <w:rFonts w:ascii="Arial" w:hAnsi="Arial" w:cs="Arial"/>
        </w:rPr>
        <w:t>tic treatment with alteplase (tPA) and dornase alfa (DNase) may</w:t>
      </w:r>
      <w:r w:rsidRPr="00271024">
        <w:rPr>
          <w:rFonts w:ascii="Arial" w:hAnsi="Arial" w:cs="Arial"/>
        </w:rPr>
        <w:t xml:space="preserve"> be considered</w:t>
      </w:r>
      <w:r>
        <w:rPr>
          <w:rFonts w:ascii="Arial" w:hAnsi="Arial" w:cs="Arial"/>
        </w:rPr>
        <w:t xml:space="preserve"> as an adjunct to medical management</w:t>
      </w:r>
      <w:r w:rsidRPr="00271024">
        <w:rPr>
          <w:rFonts w:ascii="Arial" w:hAnsi="Arial" w:cs="Arial"/>
        </w:rPr>
        <w:t xml:space="preserve"> </w:t>
      </w:r>
      <w:r>
        <w:rPr>
          <w:rFonts w:ascii="Arial" w:hAnsi="Arial" w:cs="Arial"/>
        </w:rPr>
        <w:t xml:space="preserve">in selected patients </w:t>
      </w:r>
      <w:r w:rsidRPr="00271024">
        <w:rPr>
          <w:rFonts w:ascii="Arial" w:hAnsi="Arial" w:cs="Arial"/>
        </w:rPr>
        <w:t xml:space="preserve">at the discretion of the </w:t>
      </w:r>
      <w:r>
        <w:rPr>
          <w:rFonts w:ascii="Arial" w:hAnsi="Arial" w:cs="Arial"/>
        </w:rPr>
        <w:t>Respiratory</w:t>
      </w:r>
      <w:r w:rsidRPr="00271024">
        <w:rPr>
          <w:rFonts w:ascii="Arial" w:hAnsi="Arial" w:cs="Arial"/>
        </w:rPr>
        <w:t xml:space="preserve"> Consultant</w:t>
      </w:r>
    </w:p>
    <w:p w14:paraId="5723FF73" w14:textId="77777777" w:rsidR="002872F8" w:rsidRDefault="002872F8" w:rsidP="002872F8">
      <w:pPr>
        <w:pStyle w:val="ListParagraph"/>
        <w:numPr>
          <w:ilvl w:val="0"/>
          <w:numId w:val="2"/>
        </w:numPr>
        <w:tabs>
          <w:tab w:val="left" w:pos="426"/>
        </w:tabs>
        <w:spacing w:after="0"/>
        <w:ind w:left="425" w:hanging="425"/>
        <w:rPr>
          <w:rFonts w:ascii="Arial" w:hAnsi="Arial" w:cs="Arial"/>
        </w:rPr>
      </w:pPr>
      <w:r w:rsidRPr="00B72141">
        <w:rPr>
          <w:rFonts w:ascii="Arial" w:hAnsi="Arial" w:cs="Arial"/>
        </w:rPr>
        <w:t xml:space="preserve">This guideline details the rationale, indications, contraindications and protocol for </w:t>
      </w:r>
      <w:r>
        <w:rPr>
          <w:rFonts w:ascii="Arial" w:hAnsi="Arial" w:cs="Arial"/>
        </w:rPr>
        <w:t xml:space="preserve">administering </w:t>
      </w:r>
      <w:r w:rsidRPr="00B72141">
        <w:rPr>
          <w:rFonts w:ascii="Arial" w:hAnsi="Arial" w:cs="Arial"/>
        </w:rPr>
        <w:t>intrapleural fibrinolytic treatment</w:t>
      </w:r>
    </w:p>
    <w:p w14:paraId="1B0BC415" w14:textId="77777777" w:rsidR="002872F8" w:rsidRDefault="002872F8" w:rsidP="002872F8">
      <w:pPr>
        <w:spacing w:after="0"/>
        <w:rPr>
          <w:rFonts w:ascii="Arial" w:hAnsi="Arial" w:cs="Arial"/>
          <w:b/>
        </w:rPr>
      </w:pPr>
    </w:p>
    <w:p w14:paraId="2D6E2349" w14:textId="77777777" w:rsidR="002872F8" w:rsidRDefault="002872F8" w:rsidP="002872F8">
      <w:pPr>
        <w:spacing w:after="0"/>
        <w:rPr>
          <w:rFonts w:ascii="Arial" w:hAnsi="Arial" w:cs="Arial"/>
          <w:b/>
        </w:rPr>
      </w:pPr>
    </w:p>
    <w:p w14:paraId="754C7032" w14:textId="77777777" w:rsidR="002872F8" w:rsidRPr="00845B8D" w:rsidRDefault="002872F8" w:rsidP="002872F8">
      <w:pPr>
        <w:spacing w:after="0"/>
        <w:rPr>
          <w:rFonts w:ascii="Arial" w:hAnsi="Arial" w:cs="Arial"/>
          <w:b/>
        </w:rPr>
      </w:pPr>
      <w:r w:rsidRPr="00845B8D">
        <w:rPr>
          <w:rFonts w:ascii="Arial" w:hAnsi="Arial" w:cs="Arial"/>
          <w:b/>
        </w:rPr>
        <w:t xml:space="preserve">SCOPE </w:t>
      </w:r>
    </w:p>
    <w:p w14:paraId="107935B6" w14:textId="77777777" w:rsidR="002872F8" w:rsidRPr="00DE487D" w:rsidRDefault="002872F8" w:rsidP="002872F8">
      <w:pPr>
        <w:pStyle w:val="ListParagraph"/>
        <w:numPr>
          <w:ilvl w:val="0"/>
          <w:numId w:val="2"/>
        </w:numPr>
        <w:spacing w:after="0"/>
        <w:rPr>
          <w:rFonts w:ascii="Arial" w:hAnsi="Arial" w:cs="Arial"/>
          <w:b/>
        </w:rPr>
      </w:pPr>
      <w:r w:rsidRPr="00DE487D">
        <w:rPr>
          <w:rFonts w:ascii="Arial" w:hAnsi="Arial" w:cs="Arial"/>
        </w:rPr>
        <w:t>This guidance relates to</w:t>
      </w:r>
      <w:r>
        <w:rPr>
          <w:rFonts w:ascii="Arial" w:hAnsi="Arial" w:cs="Arial"/>
        </w:rPr>
        <w:t xml:space="preserve"> adult</w:t>
      </w:r>
      <w:r w:rsidRPr="00DE487D">
        <w:rPr>
          <w:rFonts w:ascii="Arial" w:hAnsi="Arial" w:cs="Arial"/>
        </w:rPr>
        <w:t xml:space="preserve"> inpatients with non-resolving pleural infection. Such patients should be under the care of the Respiratory physicians. </w:t>
      </w:r>
      <w:r>
        <w:rPr>
          <w:rFonts w:ascii="Arial" w:hAnsi="Arial" w:cs="Arial"/>
        </w:rPr>
        <w:t xml:space="preserve">Decisions related to </w:t>
      </w:r>
      <w:r w:rsidRPr="00DE487D">
        <w:rPr>
          <w:rFonts w:ascii="Arial" w:hAnsi="Arial" w:cs="Arial"/>
        </w:rPr>
        <w:t xml:space="preserve">this treatment must be </w:t>
      </w:r>
      <w:r>
        <w:rPr>
          <w:rFonts w:ascii="Arial" w:hAnsi="Arial" w:cs="Arial"/>
        </w:rPr>
        <w:t>made</w:t>
      </w:r>
      <w:r w:rsidRPr="00DE487D">
        <w:rPr>
          <w:rFonts w:ascii="Arial" w:hAnsi="Arial" w:cs="Arial"/>
        </w:rPr>
        <w:t xml:space="preserve"> by a Respiratory Consultant.</w:t>
      </w:r>
    </w:p>
    <w:p w14:paraId="614EC3D5" w14:textId="77777777" w:rsidR="002872F8" w:rsidRPr="00271024" w:rsidRDefault="002872F8" w:rsidP="002872F8">
      <w:pPr>
        <w:spacing w:after="0"/>
        <w:contextualSpacing/>
        <w:rPr>
          <w:rFonts w:ascii="Arial" w:hAnsi="Arial" w:cs="Arial"/>
        </w:rPr>
      </w:pPr>
    </w:p>
    <w:p w14:paraId="25BBB133" w14:textId="77777777" w:rsidR="002872F8" w:rsidRPr="00271024" w:rsidRDefault="002872F8" w:rsidP="002872F8">
      <w:pPr>
        <w:spacing w:after="0"/>
        <w:contextualSpacing/>
        <w:rPr>
          <w:rFonts w:ascii="Arial" w:hAnsi="Arial" w:cs="Arial"/>
          <w:b/>
        </w:rPr>
      </w:pPr>
      <w:r>
        <w:rPr>
          <w:rFonts w:ascii="Arial" w:hAnsi="Arial" w:cs="Arial"/>
          <w:b/>
        </w:rPr>
        <w:t>3</w:t>
      </w:r>
      <w:r w:rsidRPr="00271024">
        <w:rPr>
          <w:rFonts w:ascii="Arial" w:hAnsi="Arial" w:cs="Arial"/>
          <w:b/>
        </w:rPr>
        <w:t xml:space="preserve">) INTRODUCTION </w:t>
      </w:r>
    </w:p>
    <w:p w14:paraId="2C89BDCE" w14:textId="77777777" w:rsidR="002872F8" w:rsidRPr="00271024" w:rsidRDefault="002872F8" w:rsidP="002872F8">
      <w:pPr>
        <w:spacing w:after="0"/>
        <w:contextualSpacing/>
        <w:rPr>
          <w:rFonts w:ascii="Arial" w:hAnsi="Arial" w:cs="Arial"/>
          <w:b/>
        </w:rPr>
      </w:pPr>
    </w:p>
    <w:p w14:paraId="3B435E3B" w14:textId="77777777" w:rsidR="002872F8" w:rsidRDefault="002872F8" w:rsidP="002872F8">
      <w:pPr>
        <w:spacing w:after="0"/>
        <w:contextualSpacing/>
        <w:rPr>
          <w:rFonts w:ascii="Arial" w:hAnsi="Arial" w:cs="Arial"/>
          <w:bCs/>
        </w:rPr>
      </w:pPr>
      <w:r>
        <w:rPr>
          <w:rFonts w:ascii="Arial" w:hAnsi="Arial" w:cs="Arial"/>
          <w:bCs/>
        </w:rPr>
        <w:t>Pleural infection</w:t>
      </w:r>
      <w:r w:rsidRPr="00271024">
        <w:rPr>
          <w:rFonts w:ascii="Arial" w:hAnsi="Arial" w:cs="Arial"/>
          <w:bCs/>
        </w:rPr>
        <w:t xml:space="preserve"> has a significant mo</w:t>
      </w:r>
      <w:r>
        <w:rPr>
          <w:rFonts w:ascii="Arial" w:hAnsi="Arial" w:cs="Arial"/>
          <w:bCs/>
        </w:rPr>
        <w:t xml:space="preserve">rtality of </w:t>
      </w:r>
      <w:r w:rsidRPr="00271024">
        <w:rPr>
          <w:rFonts w:ascii="Arial" w:hAnsi="Arial" w:cs="Arial"/>
          <w:bCs/>
        </w:rPr>
        <w:t xml:space="preserve">up to 20%. Standard medical management </w:t>
      </w:r>
      <w:r>
        <w:rPr>
          <w:rFonts w:ascii="Arial" w:hAnsi="Arial" w:cs="Arial"/>
          <w:bCs/>
        </w:rPr>
        <w:t>with antibiotics</w:t>
      </w:r>
      <w:r w:rsidRPr="00271024">
        <w:rPr>
          <w:rFonts w:ascii="Arial" w:hAnsi="Arial" w:cs="Arial"/>
          <w:bCs/>
        </w:rPr>
        <w:t xml:space="preserve"> and chest tube drainage fails in approximately 30% of patients. Such patients are often referred for </w:t>
      </w:r>
      <w:r>
        <w:rPr>
          <w:rFonts w:ascii="Arial" w:hAnsi="Arial" w:cs="Arial"/>
          <w:bCs/>
        </w:rPr>
        <w:t xml:space="preserve">thoracic </w:t>
      </w:r>
      <w:r w:rsidRPr="00271024">
        <w:rPr>
          <w:rFonts w:ascii="Arial" w:hAnsi="Arial" w:cs="Arial"/>
          <w:bCs/>
        </w:rPr>
        <w:t xml:space="preserve">surgery, but many patients are not </w:t>
      </w:r>
      <w:r>
        <w:rPr>
          <w:rFonts w:ascii="Arial" w:hAnsi="Arial" w:cs="Arial"/>
          <w:bCs/>
        </w:rPr>
        <w:t xml:space="preserve">suitable </w:t>
      </w:r>
      <w:r w:rsidRPr="00271024">
        <w:rPr>
          <w:rFonts w:ascii="Arial" w:hAnsi="Arial" w:cs="Arial"/>
          <w:bCs/>
        </w:rPr>
        <w:t xml:space="preserve">for </w:t>
      </w:r>
      <w:r>
        <w:rPr>
          <w:rFonts w:ascii="Arial" w:hAnsi="Arial" w:cs="Arial"/>
          <w:bCs/>
        </w:rPr>
        <w:t>surgery</w:t>
      </w:r>
      <w:r w:rsidRPr="00271024">
        <w:rPr>
          <w:rFonts w:ascii="Arial" w:hAnsi="Arial" w:cs="Arial"/>
          <w:bCs/>
        </w:rPr>
        <w:t xml:space="preserve"> due to co-morbidities</w:t>
      </w:r>
      <w:r>
        <w:rPr>
          <w:rFonts w:ascii="Arial" w:hAnsi="Arial" w:cs="Arial"/>
          <w:bCs/>
        </w:rPr>
        <w:t xml:space="preserve"> or frailty</w:t>
      </w:r>
      <w:r w:rsidRPr="00271024">
        <w:rPr>
          <w:rFonts w:ascii="Arial" w:hAnsi="Arial" w:cs="Arial"/>
          <w:bCs/>
        </w:rPr>
        <w:t>, and the surgery itself is not without morbidity</w:t>
      </w:r>
      <w:r>
        <w:rPr>
          <w:rFonts w:ascii="Arial" w:hAnsi="Arial" w:cs="Arial"/>
          <w:bCs/>
        </w:rPr>
        <w:t xml:space="preserve"> and is associated with long hospital stays</w:t>
      </w:r>
      <w:r w:rsidRPr="00271024">
        <w:rPr>
          <w:rFonts w:ascii="Arial" w:hAnsi="Arial" w:cs="Arial"/>
          <w:bCs/>
        </w:rPr>
        <w:t>.</w:t>
      </w:r>
    </w:p>
    <w:p w14:paraId="2282C178" w14:textId="77777777" w:rsidR="002872F8" w:rsidRDefault="002872F8" w:rsidP="002872F8">
      <w:pPr>
        <w:spacing w:after="0"/>
        <w:contextualSpacing/>
        <w:rPr>
          <w:rFonts w:ascii="Arial" w:hAnsi="Arial" w:cs="Arial"/>
          <w:bCs/>
        </w:rPr>
      </w:pPr>
    </w:p>
    <w:p w14:paraId="0D44EFBD" w14:textId="77777777" w:rsidR="002872F8" w:rsidRDefault="002872F8" w:rsidP="002872F8">
      <w:pPr>
        <w:tabs>
          <w:tab w:val="left" w:pos="270"/>
        </w:tabs>
        <w:contextualSpacing/>
        <w:rPr>
          <w:rFonts w:ascii="Arial" w:hAnsi="Arial" w:cs="Arial"/>
        </w:rPr>
      </w:pPr>
      <w:r>
        <w:rPr>
          <w:rFonts w:ascii="Arial" w:hAnsi="Arial" w:cs="Arial"/>
          <w:bCs/>
        </w:rPr>
        <w:t>I</w:t>
      </w:r>
      <w:r w:rsidRPr="00271024">
        <w:rPr>
          <w:rFonts w:ascii="Arial" w:hAnsi="Arial" w:cs="Arial"/>
          <w:bCs/>
        </w:rPr>
        <w:t xml:space="preserve">ntrapleural fibrinolysis </w:t>
      </w:r>
      <w:r>
        <w:rPr>
          <w:rFonts w:ascii="Arial" w:hAnsi="Arial" w:cs="Arial"/>
          <w:bCs/>
        </w:rPr>
        <w:t>with</w:t>
      </w:r>
      <w:r w:rsidRPr="00271024">
        <w:rPr>
          <w:rFonts w:ascii="Arial" w:hAnsi="Arial" w:cs="Arial"/>
          <w:bCs/>
        </w:rPr>
        <w:t xml:space="preserve"> </w:t>
      </w:r>
      <w:r>
        <w:rPr>
          <w:rFonts w:ascii="Arial" w:hAnsi="Arial" w:cs="Arial"/>
          <w:bCs/>
        </w:rPr>
        <w:t xml:space="preserve">a combination of </w:t>
      </w:r>
      <w:r w:rsidRPr="00271024">
        <w:rPr>
          <w:rFonts w:ascii="Arial" w:hAnsi="Arial" w:cs="Arial"/>
          <w:bCs/>
        </w:rPr>
        <w:t>alteplase (tPA) and dornase alfa (DNase</w:t>
      </w:r>
      <w:r>
        <w:rPr>
          <w:rFonts w:ascii="Arial" w:hAnsi="Arial" w:cs="Arial"/>
          <w:bCs/>
        </w:rPr>
        <w:t>) has been shown in a randomised controlled trial (MIST2) to reduce rate of referral for surgery and the duration of hospital stay for patients with pleural infection treated with antibiotics and chest drain insertion. This c</w:t>
      </w:r>
      <w:r>
        <w:rPr>
          <w:rFonts w:ascii="Arial" w:hAnsi="Arial" w:cs="Arial"/>
        </w:rPr>
        <w:t>ombination treatment reduces length of stay by a</w:t>
      </w:r>
      <w:r w:rsidRPr="00271024">
        <w:rPr>
          <w:rFonts w:ascii="Arial" w:hAnsi="Arial" w:cs="Arial"/>
        </w:rPr>
        <w:t xml:space="preserve"> </w:t>
      </w:r>
      <w:r>
        <w:rPr>
          <w:rFonts w:ascii="Arial" w:hAnsi="Arial" w:cs="Arial"/>
        </w:rPr>
        <w:t>mean</w:t>
      </w:r>
      <w:r w:rsidRPr="00271024">
        <w:rPr>
          <w:rFonts w:ascii="Arial" w:hAnsi="Arial" w:cs="Arial"/>
        </w:rPr>
        <w:t xml:space="preserve"> of 6.7 days and reduce</w:t>
      </w:r>
      <w:r>
        <w:rPr>
          <w:rFonts w:ascii="Arial" w:hAnsi="Arial" w:cs="Arial"/>
        </w:rPr>
        <w:t>s</w:t>
      </w:r>
      <w:r w:rsidRPr="00271024">
        <w:rPr>
          <w:rFonts w:ascii="Arial" w:hAnsi="Arial" w:cs="Arial"/>
        </w:rPr>
        <w:t xml:space="preserve"> referral for thoracic surgery by 77%</w:t>
      </w:r>
      <w:r>
        <w:rPr>
          <w:rFonts w:ascii="Arial" w:hAnsi="Arial" w:cs="Arial"/>
        </w:rPr>
        <w:t xml:space="preserve"> (Rahman et al. 2011)</w:t>
      </w:r>
      <w:r w:rsidRPr="00271024">
        <w:rPr>
          <w:rFonts w:ascii="Arial" w:hAnsi="Arial" w:cs="Arial"/>
        </w:rPr>
        <w:t>.</w:t>
      </w:r>
    </w:p>
    <w:p w14:paraId="28ADE2A7" w14:textId="77777777" w:rsidR="002872F8" w:rsidRDefault="002872F8" w:rsidP="002872F8">
      <w:pPr>
        <w:spacing w:after="0"/>
        <w:contextualSpacing/>
        <w:rPr>
          <w:rFonts w:ascii="Arial" w:hAnsi="Arial" w:cs="Arial"/>
        </w:rPr>
      </w:pPr>
    </w:p>
    <w:p w14:paraId="31DCF4F7" w14:textId="77777777" w:rsidR="002872F8" w:rsidRPr="00271024" w:rsidRDefault="002872F8" w:rsidP="002872F8">
      <w:pPr>
        <w:spacing w:after="0"/>
        <w:contextualSpacing/>
        <w:rPr>
          <w:rFonts w:ascii="Arial" w:hAnsi="Arial" w:cs="Arial"/>
          <w:bCs/>
        </w:rPr>
      </w:pPr>
      <w:r>
        <w:rPr>
          <w:rFonts w:ascii="Arial" w:hAnsi="Arial" w:cs="Arial"/>
        </w:rPr>
        <w:t xml:space="preserve">It is currently unclear how the use </w:t>
      </w:r>
      <w:r w:rsidRPr="0090058C">
        <w:rPr>
          <w:rFonts w:ascii="Arial" w:hAnsi="Arial" w:cs="Arial"/>
        </w:rPr>
        <w:t xml:space="preserve">of </w:t>
      </w:r>
      <w:r>
        <w:rPr>
          <w:rFonts w:ascii="Arial" w:hAnsi="Arial" w:cs="Arial"/>
        </w:rPr>
        <w:t xml:space="preserve">intrapleural fibrinolytic therapy should be used in the context of thoracic surgery, however </w:t>
      </w:r>
      <w:r w:rsidRPr="00271024">
        <w:rPr>
          <w:rFonts w:ascii="Arial" w:hAnsi="Arial" w:cs="Arial"/>
          <w:bCs/>
        </w:rPr>
        <w:t xml:space="preserve">if a patient fails to improve after 24-48 hours of treatment </w:t>
      </w:r>
      <w:r>
        <w:rPr>
          <w:rFonts w:ascii="Arial" w:hAnsi="Arial" w:cs="Arial"/>
          <w:bCs/>
        </w:rPr>
        <w:t xml:space="preserve">with </w:t>
      </w:r>
      <w:r w:rsidRPr="00271024">
        <w:rPr>
          <w:rFonts w:ascii="Arial" w:hAnsi="Arial" w:cs="Arial"/>
          <w:bCs/>
        </w:rPr>
        <w:t>chest tube drainage and anti</w:t>
      </w:r>
      <w:r>
        <w:rPr>
          <w:rFonts w:ascii="Arial" w:hAnsi="Arial" w:cs="Arial"/>
          <w:bCs/>
        </w:rPr>
        <w:t>microbials</w:t>
      </w:r>
      <w:r w:rsidRPr="00271024">
        <w:rPr>
          <w:rFonts w:ascii="Arial" w:hAnsi="Arial" w:cs="Arial"/>
          <w:bCs/>
        </w:rPr>
        <w:t>, intrapleural tPA/DN</w:t>
      </w:r>
      <w:r>
        <w:rPr>
          <w:rFonts w:ascii="Arial" w:hAnsi="Arial" w:cs="Arial"/>
          <w:bCs/>
        </w:rPr>
        <w:t>a</w:t>
      </w:r>
      <w:r w:rsidRPr="00271024">
        <w:rPr>
          <w:rFonts w:ascii="Arial" w:hAnsi="Arial" w:cs="Arial"/>
          <w:bCs/>
        </w:rPr>
        <w:t xml:space="preserve">se can be used at the discretion of a </w:t>
      </w:r>
      <w:r>
        <w:rPr>
          <w:rFonts w:ascii="Arial" w:hAnsi="Arial" w:cs="Arial"/>
          <w:bCs/>
        </w:rPr>
        <w:t>Respiratory</w:t>
      </w:r>
      <w:r w:rsidRPr="00271024">
        <w:rPr>
          <w:rFonts w:ascii="Arial" w:hAnsi="Arial" w:cs="Arial"/>
          <w:bCs/>
        </w:rPr>
        <w:t xml:space="preserve"> Consultant.</w:t>
      </w:r>
      <w:r>
        <w:rPr>
          <w:rFonts w:ascii="Arial" w:hAnsi="Arial" w:cs="Arial"/>
          <w:bCs/>
        </w:rPr>
        <w:t xml:space="preserve"> If used, it </w:t>
      </w:r>
      <w:r w:rsidRPr="00271024">
        <w:rPr>
          <w:rFonts w:ascii="Arial" w:hAnsi="Arial" w:cs="Arial"/>
          <w:color w:val="000000"/>
          <w:lang w:eastAsia="en-GB"/>
        </w:rPr>
        <w:t xml:space="preserve">should </w:t>
      </w:r>
      <w:r>
        <w:rPr>
          <w:rFonts w:ascii="Arial" w:hAnsi="Arial" w:cs="Arial"/>
          <w:color w:val="000000"/>
          <w:lang w:eastAsia="en-GB"/>
        </w:rPr>
        <w:t xml:space="preserve">ideally </w:t>
      </w:r>
      <w:r w:rsidRPr="00271024">
        <w:rPr>
          <w:rFonts w:ascii="Arial" w:hAnsi="Arial" w:cs="Arial"/>
          <w:color w:val="000000"/>
          <w:lang w:eastAsia="en-GB"/>
        </w:rPr>
        <w:t>be administered early in the disease course</w:t>
      </w:r>
      <w:r>
        <w:rPr>
          <w:rFonts w:ascii="Arial" w:hAnsi="Arial" w:cs="Arial"/>
          <w:color w:val="000000"/>
          <w:lang w:eastAsia="en-GB"/>
        </w:rPr>
        <w:t>.</w:t>
      </w:r>
    </w:p>
    <w:p w14:paraId="04AE6879" w14:textId="77777777" w:rsidR="002872F8" w:rsidRPr="00271024" w:rsidRDefault="002872F8" w:rsidP="002872F8">
      <w:pPr>
        <w:spacing w:after="0"/>
        <w:contextualSpacing/>
        <w:rPr>
          <w:rFonts w:ascii="Arial" w:hAnsi="Arial" w:cs="Arial"/>
          <w:bCs/>
        </w:rPr>
      </w:pPr>
    </w:p>
    <w:p w14:paraId="31EA9B09" w14:textId="77777777" w:rsidR="002872F8" w:rsidRDefault="002872F8" w:rsidP="002872F8">
      <w:pPr>
        <w:tabs>
          <w:tab w:val="left" w:pos="270"/>
        </w:tabs>
        <w:contextualSpacing/>
        <w:rPr>
          <w:rFonts w:ascii="Arial" w:eastAsia="Calibri" w:hAnsi="Arial" w:cs="Arial"/>
        </w:rPr>
      </w:pPr>
      <w:r w:rsidRPr="00271024">
        <w:rPr>
          <w:rFonts w:ascii="Arial" w:eastAsia="Calibri" w:hAnsi="Arial" w:cs="Arial"/>
        </w:rPr>
        <w:t>Since MIST2</w:t>
      </w:r>
      <w:r>
        <w:rPr>
          <w:rFonts w:ascii="Arial" w:eastAsia="Calibri" w:hAnsi="Arial" w:cs="Arial"/>
        </w:rPr>
        <w:t>,</w:t>
      </w:r>
      <w:r w:rsidRPr="00271024">
        <w:rPr>
          <w:rFonts w:ascii="Arial" w:eastAsia="Calibri" w:hAnsi="Arial" w:cs="Arial"/>
        </w:rPr>
        <w:t xml:space="preserve"> a further multinational observation</w:t>
      </w:r>
      <w:r>
        <w:rPr>
          <w:rFonts w:ascii="Arial" w:eastAsia="Calibri" w:hAnsi="Arial" w:cs="Arial"/>
        </w:rPr>
        <w:t>al</w:t>
      </w:r>
      <w:r w:rsidRPr="00271024">
        <w:rPr>
          <w:rFonts w:ascii="Arial" w:eastAsia="Calibri" w:hAnsi="Arial" w:cs="Arial"/>
        </w:rPr>
        <w:t xml:space="preserve"> series</w:t>
      </w:r>
      <w:r>
        <w:rPr>
          <w:rFonts w:ascii="Arial" w:eastAsia="Calibri" w:hAnsi="Arial" w:cs="Arial"/>
        </w:rPr>
        <w:t xml:space="preserve"> has been published</w:t>
      </w:r>
      <w:r w:rsidRPr="00271024">
        <w:rPr>
          <w:rFonts w:ascii="Arial" w:eastAsia="Calibri" w:hAnsi="Arial" w:cs="Arial"/>
        </w:rPr>
        <w:t xml:space="preserve">, which aimed to evaluate the pragmatic “real-life” application of tPA/DNase treatment for pleural infection in a large cohort of unselected </w:t>
      </w:r>
      <w:r w:rsidRPr="00271024">
        <w:rPr>
          <w:rFonts w:ascii="Arial" w:eastAsia="Calibri" w:hAnsi="Arial" w:cs="Arial"/>
        </w:rPr>
        <w:lastRenderedPageBreak/>
        <w:t>patients from centres in three countries</w:t>
      </w:r>
      <w:r>
        <w:rPr>
          <w:rFonts w:ascii="Arial" w:eastAsia="Calibri" w:hAnsi="Arial" w:cs="Arial"/>
        </w:rPr>
        <w:t>.</w:t>
      </w:r>
      <w:r w:rsidRPr="00271024">
        <w:rPr>
          <w:rFonts w:ascii="Arial" w:eastAsia="Calibri" w:hAnsi="Arial" w:cs="Arial"/>
        </w:rPr>
        <w:t xml:space="preserve"> Of the 107 patients treated, the majority (92.3%) were successfully managed without the need for surgical intervention</w:t>
      </w:r>
      <w:r>
        <w:rPr>
          <w:rFonts w:ascii="Arial" w:eastAsia="Calibri" w:hAnsi="Arial" w:cs="Arial"/>
        </w:rPr>
        <w:t xml:space="preserve"> (Piccolo et al. 2014)</w:t>
      </w:r>
      <w:r w:rsidRPr="00271024">
        <w:rPr>
          <w:rFonts w:ascii="Arial" w:eastAsia="Calibri" w:hAnsi="Arial" w:cs="Arial"/>
        </w:rPr>
        <w:t xml:space="preserve">. </w:t>
      </w:r>
    </w:p>
    <w:p w14:paraId="104A8123" w14:textId="77777777" w:rsidR="002872F8" w:rsidRDefault="002872F8" w:rsidP="002872F8">
      <w:pPr>
        <w:tabs>
          <w:tab w:val="left" w:pos="270"/>
        </w:tabs>
        <w:contextualSpacing/>
        <w:rPr>
          <w:rFonts w:ascii="Arial" w:eastAsia="Calibri" w:hAnsi="Arial" w:cs="Arial"/>
        </w:rPr>
      </w:pPr>
    </w:p>
    <w:p w14:paraId="1548DF87" w14:textId="77777777" w:rsidR="002872F8" w:rsidRDefault="002872F8" w:rsidP="002872F8">
      <w:pPr>
        <w:tabs>
          <w:tab w:val="left" w:pos="270"/>
        </w:tabs>
        <w:contextualSpacing/>
        <w:rPr>
          <w:rFonts w:ascii="Arial" w:eastAsia="Calibri" w:hAnsi="Arial" w:cs="Arial"/>
        </w:rPr>
      </w:pPr>
      <w:r>
        <w:rPr>
          <w:rFonts w:ascii="Arial" w:eastAsia="Calibri" w:hAnsi="Arial" w:cs="Arial"/>
        </w:rPr>
        <w:t>The MIST2 protocol involved the administration of intrapleural medications separated by a minimum of two hours, however the concurrent instillation has been demonstrated to be safe and effective (Majid et al. 2016).</w:t>
      </w:r>
    </w:p>
    <w:p w14:paraId="27B40048" w14:textId="77777777" w:rsidR="002872F8" w:rsidRDefault="002872F8" w:rsidP="002872F8">
      <w:pPr>
        <w:tabs>
          <w:tab w:val="left" w:pos="270"/>
        </w:tabs>
        <w:contextualSpacing/>
        <w:rPr>
          <w:rFonts w:ascii="Arial" w:eastAsia="Calibri" w:hAnsi="Arial" w:cs="Arial"/>
        </w:rPr>
      </w:pPr>
    </w:p>
    <w:p w14:paraId="3F7B9383" w14:textId="77777777" w:rsidR="002872F8" w:rsidRPr="00271024" w:rsidRDefault="002872F8" w:rsidP="002872F8">
      <w:pPr>
        <w:tabs>
          <w:tab w:val="left" w:pos="270"/>
        </w:tabs>
        <w:contextualSpacing/>
        <w:rPr>
          <w:rFonts w:ascii="Arial" w:eastAsia="Calibri" w:hAnsi="Arial" w:cs="Arial"/>
        </w:rPr>
      </w:pPr>
      <w:r>
        <w:rPr>
          <w:rFonts w:ascii="Arial" w:eastAsia="Calibri" w:hAnsi="Arial" w:cs="Arial"/>
        </w:rPr>
        <w:t>Case reports have described pleural bleeding in patients on full-dose anticoagulation or in those with end-stage renal disease treated with intrapleural fibrinolytics. Such patients were not excluded from MIST2 however and no clear evidence exists that such factors should represent a complete contraindication to treatment. Anticoagulation, an uncorrected coagulopathy or severe renal or hepatic impairment may however increase the risks of pleural bleeding and the risks and benefits of intrapleural fibrinolytics should be considered carefully alongside alternative management.</w:t>
      </w:r>
    </w:p>
    <w:p w14:paraId="02D6DBC4" w14:textId="77777777" w:rsidR="002872F8" w:rsidRDefault="002872F8" w:rsidP="002872F8">
      <w:pPr>
        <w:autoSpaceDE w:val="0"/>
        <w:autoSpaceDN w:val="0"/>
        <w:adjustRightInd w:val="0"/>
        <w:contextualSpacing/>
        <w:rPr>
          <w:rFonts w:ascii="Arial" w:hAnsi="Arial" w:cs="Arial"/>
        </w:rPr>
      </w:pPr>
    </w:p>
    <w:p w14:paraId="754EBAF9" w14:textId="77777777" w:rsidR="002872F8" w:rsidRPr="00271024" w:rsidRDefault="002872F8" w:rsidP="002872F8">
      <w:pPr>
        <w:tabs>
          <w:tab w:val="left" w:pos="270"/>
        </w:tabs>
        <w:contextualSpacing/>
        <w:rPr>
          <w:rFonts w:ascii="Arial" w:hAnsi="Arial" w:cs="Arial"/>
          <w:b/>
        </w:rPr>
      </w:pPr>
      <w:r w:rsidRPr="00271024">
        <w:rPr>
          <w:rFonts w:ascii="Arial" w:hAnsi="Arial" w:cs="Arial"/>
          <w:b/>
        </w:rPr>
        <w:t>Protocol</w:t>
      </w:r>
    </w:p>
    <w:p w14:paraId="6867CCB2" w14:textId="77777777" w:rsidR="002872F8" w:rsidRDefault="002872F8" w:rsidP="002872F8">
      <w:pPr>
        <w:pStyle w:val="BodyText"/>
        <w:spacing w:line="276" w:lineRule="auto"/>
        <w:contextualSpacing/>
        <w:rPr>
          <w:rFonts w:cs="Arial"/>
          <w:sz w:val="22"/>
          <w:szCs w:val="22"/>
          <w:lang w:eastAsia="en-GB"/>
        </w:rPr>
      </w:pPr>
      <w:r>
        <w:rPr>
          <w:rFonts w:cs="Arial"/>
          <w:sz w:val="22"/>
          <w:szCs w:val="22"/>
          <w:lang w:eastAsia="en-GB"/>
        </w:rPr>
        <w:t>Patients should be given information regarding this treatment and consented to its use.</w:t>
      </w:r>
    </w:p>
    <w:p w14:paraId="7124A918" w14:textId="77777777" w:rsidR="002872F8" w:rsidRDefault="002872F8" w:rsidP="002872F8">
      <w:pPr>
        <w:pStyle w:val="BodyText"/>
        <w:spacing w:line="276" w:lineRule="auto"/>
        <w:contextualSpacing/>
        <w:rPr>
          <w:rFonts w:cs="Arial"/>
          <w:sz w:val="22"/>
          <w:szCs w:val="22"/>
          <w:lang w:eastAsia="en-GB"/>
        </w:rPr>
      </w:pPr>
    </w:p>
    <w:p w14:paraId="2677F528" w14:textId="77777777" w:rsidR="002872F8" w:rsidRDefault="002872F8" w:rsidP="002872F8">
      <w:pPr>
        <w:pStyle w:val="BodyText"/>
        <w:spacing w:line="276" w:lineRule="auto"/>
        <w:contextualSpacing/>
        <w:rPr>
          <w:rFonts w:cs="Arial"/>
          <w:sz w:val="22"/>
          <w:szCs w:val="22"/>
          <w:lang w:eastAsia="en-GB"/>
        </w:rPr>
      </w:pPr>
      <w:r w:rsidRPr="00271024">
        <w:rPr>
          <w:rFonts w:cs="Arial"/>
          <w:sz w:val="22"/>
          <w:szCs w:val="22"/>
          <w:lang w:eastAsia="en-GB"/>
        </w:rPr>
        <w:t xml:space="preserve">The specific risks that </w:t>
      </w:r>
      <w:r>
        <w:rPr>
          <w:rFonts w:cs="Arial"/>
          <w:sz w:val="22"/>
          <w:szCs w:val="22"/>
          <w:lang w:eastAsia="en-GB"/>
        </w:rPr>
        <w:t>should</w:t>
      </w:r>
      <w:r w:rsidRPr="00271024">
        <w:rPr>
          <w:rFonts w:cs="Arial"/>
          <w:sz w:val="22"/>
          <w:szCs w:val="22"/>
          <w:lang w:eastAsia="en-GB"/>
        </w:rPr>
        <w:t xml:space="preserve"> be discussed are:</w:t>
      </w:r>
    </w:p>
    <w:p w14:paraId="6304C7AF" w14:textId="77777777" w:rsidR="002872F8" w:rsidRDefault="002872F8" w:rsidP="002872F8">
      <w:pPr>
        <w:pStyle w:val="BodyText"/>
        <w:spacing w:line="276" w:lineRule="auto"/>
        <w:contextualSpacing/>
        <w:rPr>
          <w:rFonts w:cs="Arial"/>
          <w:sz w:val="22"/>
          <w:szCs w:val="22"/>
          <w:lang w:eastAsia="en-GB"/>
        </w:rPr>
      </w:pPr>
    </w:p>
    <w:p w14:paraId="496D81B4" w14:textId="77777777" w:rsidR="002872F8" w:rsidRDefault="002872F8" w:rsidP="002872F8">
      <w:pPr>
        <w:pStyle w:val="BodyText"/>
        <w:numPr>
          <w:ilvl w:val="0"/>
          <w:numId w:val="3"/>
        </w:numPr>
        <w:spacing w:line="276" w:lineRule="auto"/>
        <w:contextualSpacing/>
        <w:rPr>
          <w:rFonts w:cs="Arial"/>
          <w:sz w:val="22"/>
          <w:szCs w:val="22"/>
          <w:lang w:eastAsia="en-GB"/>
        </w:rPr>
      </w:pPr>
      <w:r w:rsidRPr="00271024">
        <w:rPr>
          <w:rFonts w:cs="Arial"/>
          <w:sz w:val="22"/>
          <w:szCs w:val="22"/>
          <w:lang w:eastAsia="en-GB"/>
        </w:rPr>
        <w:t xml:space="preserve">Intrapleural bleeding – </w:t>
      </w:r>
      <w:proofErr w:type="spellStart"/>
      <w:r>
        <w:rPr>
          <w:rFonts w:cs="Arial"/>
          <w:sz w:val="22"/>
          <w:szCs w:val="22"/>
          <w:lang w:eastAsia="en-GB"/>
        </w:rPr>
        <w:t>Haemorrhagic</w:t>
      </w:r>
      <w:proofErr w:type="spellEnd"/>
      <w:r>
        <w:rPr>
          <w:rFonts w:cs="Arial"/>
          <w:sz w:val="22"/>
          <w:szCs w:val="22"/>
          <w:lang w:eastAsia="en-GB"/>
        </w:rPr>
        <w:t xml:space="preserve"> pleural fluid is a common observation following administration but frank intrapleural bleeding </w:t>
      </w:r>
      <w:r w:rsidRPr="00271024">
        <w:rPr>
          <w:rFonts w:cs="Arial"/>
          <w:sz w:val="22"/>
          <w:szCs w:val="22"/>
          <w:lang w:eastAsia="en-GB"/>
        </w:rPr>
        <w:t>is rare (2%)</w:t>
      </w:r>
      <w:r>
        <w:rPr>
          <w:rFonts w:cs="Arial"/>
          <w:sz w:val="22"/>
          <w:szCs w:val="22"/>
          <w:lang w:eastAsia="en-GB"/>
        </w:rPr>
        <w:t>. Rarely, a blood transfusion may be necessary as a result.</w:t>
      </w:r>
    </w:p>
    <w:p w14:paraId="0915BD45" w14:textId="77777777" w:rsidR="002872F8" w:rsidRPr="0090058C" w:rsidRDefault="002872F8" w:rsidP="002872F8">
      <w:pPr>
        <w:pStyle w:val="BodyText"/>
        <w:numPr>
          <w:ilvl w:val="0"/>
          <w:numId w:val="3"/>
        </w:numPr>
        <w:spacing w:line="276" w:lineRule="auto"/>
        <w:contextualSpacing/>
        <w:rPr>
          <w:rFonts w:cs="Arial"/>
          <w:sz w:val="22"/>
          <w:szCs w:val="22"/>
          <w:lang w:eastAsia="en-GB"/>
        </w:rPr>
      </w:pPr>
      <w:r w:rsidRPr="0090058C">
        <w:rPr>
          <w:rFonts w:cs="Arial"/>
          <w:sz w:val="22"/>
          <w:szCs w:val="22"/>
          <w:lang w:eastAsia="en-GB"/>
        </w:rPr>
        <w:t>Discomfort/pain –</w:t>
      </w:r>
      <w:r>
        <w:rPr>
          <w:rFonts w:cs="Arial"/>
          <w:sz w:val="22"/>
          <w:szCs w:val="22"/>
          <w:lang w:eastAsia="en-GB"/>
        </w:rPr>
        <w:t xml:space="preserve"> </w:t>
      </w:r>
      <w:r w:rsidRPr="0090058C">
        <w:rPr>
          <w:rFonts w:cs="Arial"/>
          <w:sz w:val="22"/>
          <w:szCs w:val="22"/>
          <w:lang w:eastAsia="en-GB"/>
        </w:rPr>
        <w:t>Normal Saline (0.9% NaCl)</w:t>
      </w:r>
      <w:r>
        <w:rPr>
          <w:rFonts w:cs="Arial"/>
          <w:sz w:val="22"/>
          <w:szCs w:val="22"/>
          <w:lang w:eastAsia="en-GB"/>
        </w:rPr>
        <w:t xml:space="preserve"> flushes cause pain in</w:t>
      </w:r>
      <w:r w:rsidRPr="0090058C">
        <w:rPr>
          <w:rFonts w:cs="Arial"/>
          <w:sz w:val="22"/>
          <w:szCs w:val="22"/>
          <w:lang w:eastAsia="en-GB"/>
        </w:rPr>
        <w:t xml:space="preserve"> approximately 3%</w:t>
      </w:r>
      <w:r>
        <w:rPr>
          <w:rFonts w:cs="Arial"/>
          <w:sz w:val="22"/>
          <w:szCs w:val="22"/>
          <w:lang w:eastAsia="en-GB"/>
        </w:rPr>
        <w:t xml:space="preserve"> of patients. There appears to be a slightly higher risk of pain </w:t>
      </w:r>
      <w:r w:rsidRPr="0090058C">
        <w:rPr>
          <w:rFonts w:cs="Arial"/>
          <w:sz w:val="22"/>
          <w:szCs w:val="22"/>
          <w:lang w:eastAsia="en-GB"/>
        </w:rPr>
        <w:t>(5%)</w:t>
      </w:r>
      <w:r>
        <w:rPr>
          <w:rFonts w:cs="Arial"/>
          <w:sz w:val="22"/>
          <w:szCs w:val="22"/>
          <w:lang w:eastAsia="en-GB"/>
        </w:rPr>
        <w:t xml:space="preserve"> with tPA and DNase</w:t>
      </w:r>
      <w:r w:rsidRPr="0090058C">
        <w:rPr>
          <w:rFonts w:cs="Arial"/>
          <w:sz w:val="22"/>
          <w:szCs w:val="22"/>
          <w:lang w:eastAsia="en-GB"/>
        </w:rPr>
        <w:t xml:space="preserve">. This is likely to be </w:t>
      </w:r>
      <w:r>
        <w:rPr>
          <w:rFonts w:cs="Arial"/>
          <w:sz w:val="22"/>
          <w:szCs w:val="22"/>
          <w:lang w:eastAsia="en-GB"/>
        </w:rPr>
        <w:t>mild and may require analgesia.</w:t>
      </w:r>
    </w:p>
    <w:p w14:paraId="220AC29B" w14:textId="77777777" w:rsidR="002872F8" w:rsidRPr="00271024" w:rsidRDefault="002872F8" w:rsidP="002872F8">
      <w:pPr>
        <w:numPr>
          <w:ilvl w:val="0"/>
          <w:numId w:val="1"/>
        </w:numPr>
        <w:tabs>
          <w:tab w:val="left" w:pos="0"/>
        </w:tabs>
        <w:autoSpaceDE w:val="0"/>
        <w:autoSpaceDN w:val="0"/>
        <w:adjustRightInd w:val="0"/>
        <w:spacing w:after="0"/>
        <w:contextualSpacing/>
        <w:rPr>
          <w:rFonts w:ascii="Arial" w:hAnsi="Arial" w:cs="Arial"/>
        </w:rPr>
      </w:pPr>
      <w:r w:rsidRPr="00D31594">
        <w:rPr>
          <w:rFonts w:ascii="Arial" w:hAnsi="Arial" w:cs="Arial"/>
        </w:rPr>
        <w:t xml:space="preserve">The maximum course is twice daily administration of both agents for 3 days, but the patient may not </w:t>
      </w:r>
      <w:r>
        <w:rPr>
          <w:rFonts w:ascii="Arial" w:hAnsi="Arial" w:cs="Arial"/>
        </w:rPr>
        <w:t>require the whole course if there is clinical</w:t>
      </w:r>
      <w:r w:rsidRPr="00D31594">
        <w:rPr>
          <w:rFonts w:ascii="Arial" w:hAnsi="Arial" w:cs="Arial"/>
        </w:rPr>
        <w:t xml:space="preserve"> resol</w:t>
      </w:r>
      <w:r>
        <w:rPr>
          <w:rFonts w:ascii="Arial" w:hAnsi="Arial" w:cs="Arial"/>
        </w:rPr>
        <w:t xml:space="preserve">ution </w:t>
      </w:r>
      <w:r w:rsidRPr="00D31594">
        <w:rPr>
          <w:rFonts w:ascii="Arial" w:hAnsi="Arial" w:cs="Arial"/>
        </w:rPr>
        <w:t>at an earlier stage.</w:t>
      </w:r>
      <w:r>
        <w:rPr>
          <w:rFonts w:ascii="Arial" w:hAnsi="Arial" w:cs="Arial"/>
        </w:rPr>
        <w:t xml:space="preserve"> The frequency of the treatment may be reduced to once daily if agreed by the responsible Respiratory Consultant.</w:t>
      </w:r>
      <w:r>
        <w:rPr>
          <w:rFonts w:ascii="Arial" w:hAnsi="Arial" w:cs="Arial"/>
          <w:lang w:eastAsia="en-GB"/>
        </w:rPr>
        <w:t xml:space="preserve"> </w:t>
      </w:r>
      <w:r w:rsidRPr="00271024">
        <w:rPr>
          <w:rFonts w:ascii="Arial" w:hAnsi="Arial" w:cs="Arial"/>
          <w:lang w:eastAsia="en-GB"/>
        </w:rPr>
        <w:t>Any alternative options</w:t>
      </w:r>
      <w:r>
        <w:rPr>
          <w:rFonts w:ascii="Arial" w:hAnsi="Arial" w:cs="Arial"/>
          <w:lang w:eastAsia="en-GB"/>
        </w:rPr>
        <w:t>, including surgery,</w:t>
      </w:r>
      <w:r w:rsidRPr="00271024">
        <w:rPr>
          <w:rFonts w:ascii="Arial" w:hAnsi="Arial" w:cs="Arial"/>
          <w:lang w:eastAsia="en-GB"/>
        </w:rPr>
        <w:t xml:space="preserve"> </w:t>
      </w:r>
      <w:r>
        <w:rPr>
          <w:rFonts w:ascii="Arial" w:hAnsi="Arial" w:cs="Arial"/>
          <w:lang w:eastAsia="en-GB"/>
        </w:rPr>
        <w:t>should</w:t>
      </w:r>
      <w:r w:rsidRPr="00271024">
        <w:rPr>
          <w:rFonts w:ascii="Arial" w:hAnsi="Arial" w:cs="Arial"/>
          <w:lang w:eastAsia="en-GB"/>
        </w:rPr>
        <w:t xml:space="preserve"> also be discussed </w:t>
      </w:r>
      <w:r>
        <w:rPr>
          <w:rFonts w:ascii="Arial" w:hAnsi="Arial" w:cs="Arial"/>
          <w:lang w:eastAsia="en-GB"/>
        </w:rPr>
        <w:t>in detail</w:t>
      </w:r>
      <w:r w:rsidRPr="00271024">
        <w:rPr>
          <w:rFonts w:ascii="Arial" w:hAnsi="Arial" w:cs="Arial"/>
          <w:lang w:eastAsia="en-GB"/>
        </w:rPr>
        <w:t xml:space="preserve"> with the patient </w:t>
      </w:r>
      <w:r>
        <w:rPr>
          <w:rFonts w:ascii="Arial" w:hAnsi="Arial" w:cs="Arial"/>
          <w:lang w:eastAsia="en-GB"/>
        </w:rPr>
        <w:t>if appropriate.</w:t>
      </w:r>
      <w:r w:rsidRPr="00271024">
        <w:rPr>
          <w:rFonts w:ascii="Arial" w:hAnsi="Arial" w:cs="Arial"/>
          <w:lang w:eastAsia="en-GB"/>
        </w:rPr>
        <w:t xml:space="preserve"> </w:t>
      </w:r>
    </w:p>
    <w:p w14:paraId="11D8732D" w14:textId="77777777" w:rsidR="002872F8" w:rsidRPr="00271024" w:rsidRDefault="002872F8" w:rsidP="002872F8">
      <w:pPr>
        <w:tabs>
          <w:tab w:val="left" w:pos="0"/>
        </w:tabs>
        <w:autoSpaceDE w:val="0"/>
        <w:autoSpaceDN w:val="0"/>
        <w:adjustRightInd w:val="0"/>
        <w:contextualSpacing/>
        <w:rPr>
          <w:rFonts w:ascii="Arial" w:hAnsi="Arial" w:cs="Arial"/>
          <w:u w:val="single"/>
          <w:lang w:eastAsia="en-GB"/>
        </w:rPr>
      </w:pPr>
    </w:p>
    <w:p w14:paraId="37C74809" w14:textId="77777777" w:rsidR="002872F8" w:rsidRPr="00271024" w:rsidRDefault="002872F8" w:rsidP="002872F8">
      <w:pPr>
        <w:pStyle w:val="BodyText"/>
        <w:spacing w:line="276" w:lineRule="auto"/>
        <w:contextualSpacing/>
        <w:rPr>
          <w:rFonts w:cs="Arial"/>
          <w:b/>
          <w:sz w:val="22"/>
          <w:szCs w:val="22"/>
        </w:rPr>
      </w:pPr>
      <w:r w:rsidRPr="00271024">
        <w:rPr>
          <w:rFonts w:cs="Arial"/>
          <w:b/>
          <w:sz w:val="22"/>
          <w:szCs w:val="22"/>
        </w:rPr>
        <w:t xml:space="preserve">Contraindications and exclusion criteria </w:t>
      </w:r>
    </w:p>
    <w:p w14:paraId="73234E11" w14:textId="77777777" w:rsidR="002872F8" w:rsidRPr="00271024" w:rsidRDefault="002872F8" w:rsidP="002872F8">
      <w:pPr>
        <w:pStyle w:val="BodyText"/>
        <w:spacing w:line="276" w:lineRule="auto"/>
        <w:contextualSpacing/>
        <w:rPr>
          <w:rFonts w:cs="Arial"/>
          <w:b/>
          <w:sz w:val="22"/>
          <w:szCs w:val="22"/>
        </w:rPr>
      </w:pPr>
    </w:p>
    <w:p w14:paraId="2C76E959" w14:textId="77777777" w:rsidR="002872F8" w:rsidRDefault="002872F8" w:rsidP="002872F8">
      <w:pPr>
        <w:pStyle w:val="BodyText"/>
        <w:spacing w:line="276" w:lineRule="auto"/>
        <w:contextualSpacing/>
        <w:rPr>
          <w:rFonts w:cs="Arial"/>
          <w:sz w:val="22"/>
          <w:szCs w:val="22"/>
        </w:rPr>
      </w:pPr>
      <w:r>
        <w:rPr>
          <w:rFonts w:cs="Arial"/>
          <w:sz w:val="22"/>
          <w:szCs w:val="22"/>
        </w:rPr>
        <w:t>- Use of intrapleural fibrinolytics would result in a delay to appropriate thoracic surgical intervention</w:t>
      </w:r>
    </w:p>
    <w:p w14:paraId="68E2C8E1" w14:textId="77777777" w:rsidR="002872F8" w:rsidRPr="00271024" w:rsidRDefault="002872F8" w:rsidP="002872F8">
      <w:pPr>
        <w:pStyle w:val="BodyText"/>
        <w:spacing w:line="276" w:lineRule="auto"/>
        <w:contextualSpacing/>
        <w:rPr>
          <w:rFonts w:cs="Arial"/>
          <w:sz w:val="22"/>
          <w:szCs w:val="22"/>
        </w:rPr>
      </w:pPr>
      <w:r w:rsidRPr="00271024">
        <w:rPr>
          <w:rFonts w:cs="Arial"/>
          <w:sz w:val="22"/>
          <w:szCs w:val="22"/>
        </w:rPr>
        <w:t xml:space="preserve">- Hypersensitivity to alteplase </w:t>
      </w:r>
      <w:r w:rsidRPr="00271024">
        <w:rPr>
          <w:rFonts w:cs="Arial"/>
          <w:b/>
          <w:sz w:val="22"/>
          <w:szCs w:val="22"/>
        </w:rPr>
        <w:t xml:space="preserve">or </w:t>
      </w:r>
      <w:r w:rsidRPr="00271024">
        <w:rPr>
          <w:rFonts w:cs="Arial"/>
          <w:sz w:val="22"/>
          <w:szCs w:val="22"/>
        </w:rPr>
        <w:t>dornase alfa and their excipients</w:t>
      </w:r>
    </w:p>
    <w:p w14:paraId="5F415FDD" w14:textId="77777777" w:rsidR="002872F8" w:rsidRPr="00271024" w:rsidRDefault="002872F8" w:rsidP="002872F8">
      <w:pPr>
        <w:pStyle w:val="BodyText"/>
        <w:spacing w:line="276" w:lineRule="auto"/>
        <w:contextualSpacing/>
        <w:rPr>
          <w:rFonts w:cs="Arial"/>
          <w:sz w:val="22"/>
          <w:szCs w:val="22"/>
        </w:rPr>
      </w:pPr>
      <w:r w:rsidRPr="00271024">
        <w:rPr>
          <w:rFonts w:cs="Arial"/>
          <w:sz w:val="22"/>
          <w:szCs w:val="22"/>
        </w:rPr>
        <w:t>- Patients under 18 years of age</w:t>
      </w:r>
    </w:p>
    <w:p w14:paraId="6A07925A" w14:textId="77777777" w:rsidR="002872F8" w:rsidRPr="00271024" w:rsidRDefault="002872F8" w:rsidP="002872F8">
      <w:pPr>
        <w:pStyle w:val="BodyText"/>
        <w:spacing w:line="276" w:lineRule="auto"/>
        <w:contextualSpacing/>
        <w:rPr>
          <w:rFonts w:cs="Arial"/>
          <w:sz w:val="22"/>
          <w:szCs w:val="22"/>
        </w:rPr>
      </w:pPr>
      <w:r>
        <w:rPr>
          <w:rFonts w:cs="Arial"/>
          <w:sz w:val="22"/>
          <w:szCs w:val="22"/>
        </w:rPr>
        <w:t>- Active pleural bleeding</w:t>
      </w:r>
    </w:p>
    <w:p w14:paraId="3F866435" w14:textId="77777777" w:rsidR="002872F8" w:rsidRPr="00271024" w:rsidRDefault="002872F8" w:rsidP="002872F8">
      <w:pPr>
        <w:pStyle w:val="BodyText"/>
        <w:spacing w:line="276" w:lineRule="auto"/>
        <w:contextualSpacing/>
        <w:rPr>
          <w:rFonts w:cs="Arial"/>
          <w:sz w:val="22"/>
          <w:szCs w:val="22"/>
        </w:rPr>
      </w:pPr>
      <w:r w:rsidRPr="00271024">
        <w:rPr>
          <w:rFonts w:cs="Arial"/>
          <w:sz w:val="22"/>
          <w:szCs w:val="22"/>
        </w:rPr>
        <w:t>- Current coincidental stroke</w:t>
      </w:r>
    </w:p>
    <w:p w14:paraId="21BF131B" w14:textId="77777777" w:rsidR="002872F8" w:rsidRPr="00271024" w:rsidRDefault="002872F8" w:rsidP="002872F8">
      <w:pPr>
        <w:pStyle w:val="BodyText"/>
        <w:spacing w:line="276" w:lineRule="auto"/>
        <w:contextualSpacing/>
        <w:rPr>
          <w:rFonts w:cs="Arial"/>
          <w:sz w:val="22"/>
          <w:szCs w:val="22"/>
        </w:rPr>
      </w:pPr>
      <w:r w:rsidRPr="00271024">
        <w:rPr>
          <w:rFonts w:cs="Arial"/>
          <w:sz w:val="22"/>
          <w:szCs w:val="22"/>
        </w:rPr>
        <w:t xml:space="preserve">- Current major chest </w:t>
      </w:r>
      <w:proofErr w:type="spellStart"/>
      <w:r w:rsidRPr="00271024">
        <w:rPr>
          <w:rFonts w:cs="Arial"/>
          <w:sz w:val="22"/>
          <w:szCs w:val="22"/>
        </w:rPr>
        <w:t>haemorrhage</w:t>
      </w:r>
      <w:proofErr w:type="spellEnd"/>
      <w:r w:rsidRPr="00271024">
        <w:rPr>
          <w:rFonts w:cs="Arial"/>
          <w:sz w:val="22"/>
          <w:szCs w:val="22"/>
        </w:rPr>
        <w:t xml:space="preserve"> or trauma</w:t>
      </w:r>
      <w:r>
        <w:rPr>
          <w:rFonts w:cs="Arial"/>
          <w:sz w:val="22"/>
          <w:szCs w:val="22"/>
        </w:rPr>
        <w:t xml:space="preserve"> including intercostal artery injury</w:t>
      </w:r>
    </w:p>
    <w:p w14:paraId="3A4CC215" w14:textId="77777777" w:rsidR="002872F8" w:rsidRPr="00271024" w:rsidRDefault="002872F8" w:rsidP="002872F8">
      <w:pPr>
        <w:pStyle w:val="BodyText"/>
        <w:spacing w:line="276" w:lineRule="auto"/>
        <w:contextualSpacing/>
        <w:rPr>
          <w:rFonts w:cs="Arial"/>
          <w:sz w:val="22"/>
          <w:szCs w:val="22"/>
        </w:rPr>
      </w:pPr>
      <w:r w:rsidRPr="00271024">
        <w:rPr>
          <w:rFonts w:cs="Arial"/>
          <w:sz w:val="22"/>
          <w:szCs w:val="22"/>
        </w:rPr>
        <w:t>- Major surgery in the previous 5 days</w:t>
      </w:r>
    </w:p>
    <w:p w14:paraId="2DBE8037" w14:textId="77777777" w:rsidR="002872F8" w:rsidRPr="00271024" w:rsidRDefault="002872F8" w:rsidP="002872F8">
      <w:pPr>
        <w:pStyle w:val="BodyText"/>
        <w:spacing w:line="276" w:lineRule="auto"/>
        <w:contextualSpacing/>
        <w:rPr>
          <w:rFonts w:cs="Arial"/>
          <w:sz w:val="22"/>
          <w:szCs w:val="22"/>
        </w:rPr>
      </w:pPr>
      <w:r w:rsidRPr="00271024">
        <w:rPr>
          <w:rFonts w:cs="Arial"/>
          <w:sz w:val="22"/>
          <w:szCs w:val="22"/>
        </w:rPr>
        <w:t xml:space="preserve">- Previous pneumonectomy on the </w:t>
      </w:r>
      <w:r>
        <w:rPr>
          <w:rFonts w:cs="Arial"/>
          <w:sz w:val="22"/>
          <w:szCs w:val="22"/>
        </w:rPr>
        <w:t>affected</w:t>
      </w:r>
      <w:r w:rsidRPr="00271024">
        <w:rPr>
          <w:rFonts w:cs="Arial"/>
          <w:sz w:val="22"/>
          <w:szCs w:val="22"/>
        </w:rPr>
        <w:t xml:space="preserve"> side</w:t>
      </w:r>
    </w:p>
    <w:p w14:paraId="004976A1" w14:textId="77777777" w:rsidR="002872F8" w:rsidRPr="00271024" w:rsidRDefault="002872F8" w:rsidP="002872F8">
      <w:pPr>
        <w:pStyle w:val="BodyText"/>
        <w:spacing w:line="276" w:lineRule="auto"/>
        <w:contextualSpacing/>
        <w:rPr>
          <w:rFonts w:cs="Arial"/>
          <w:sz w:val="22"/>
          <w:szCs w:val="22"/>
        </w:rPr>
      </w:pPr>
      <w:r w:rsidRPr="00271024">
        <w:rPr>
          <w:rFonts w:cs="Arial"/>
          <w:sz w:val="22"/>
          <w:szCs w:val="22"/>
        </w:rPr>
        <w:t>- Pregnancy or breastfeeding</w:t>
      </w:r>
    </w:p>
    <w:p w14:paraId="1D58BE41" w14:textId="77777777" w:rsidR="002872F8" w:rsidRDefault="002872F8" w:rsidP="002872F8">
      <w:pPr>
        <w:pStyle w:val="BodyText"/>
        <w:spacing w:line="276" w:lineRule="auto"/>
        <w:contextualSpacing/>
        <w:rPr>
          <w:rFonts w:cs="Arial"/>
          <w:sz w:val="22"/>
          <w:szCs w:val="22"/>
        </w:rPr>
      </w:pPr>
    </w:p>
    <w:p w14:paraId="70878D31" w14:textId="77777777" w:rsidR="002872F8" w:rsidRDefault="002872F8" w:rsidP="002872F8">
      <w:pPr>
        <w:pStyle w:val="BodyText"/>
        <w:spacing w:line="276" w:lineRule="auto"/>
        <w:contextualSpacing/>
        <w:rPr>
          <w:rFonts w:cs="Arial"/>
          <w:b/>
          <w:sz w:val="22"/>
          <w:szCs w:val="22"/>
        </w:rPr>
      </w:pPr>
      <w:r w:rsidRPr="00845B8D">
        <w:rPr>
          <w:rFonts w:cs="Arial"/>
          <w:b/>
          <w:sz w:val="22"/>
          <w:szCs w:val="22"/>
        </w:rPr>
        <w:t>Relative contraindications</w:t>
      </w:r>
    </w:p>
    <w:p w14:paraId="1B408744" w14:textId="77777777" w:rsidR="002872F8" w:rsidRPr="00845B8D" w:rsidRDefault="002872F8" w:rsidP="002872F8">
      <w:pPr>
        <w:pStyle w:val="BodyText"/>
        <w:spacing w:line="276" w:lineRule="auto"/>
        <w:contextualSpacing/>
        <w:rPr>
          <w:rFonts w:cs="Arial"/>
          <w:b/>
          <w:sz w:val="22"/>
          <w:szCs w:val="22"/>
        </w:rPr>
      </w:pPr>
    </w:p>
    <w:p w14:paraId="1591F5ED" w14:textId="77777777" w:rsidR="002872F8" w:rsidRPr="00271024" w:rsidRDefault="002872F8" w:rsidP="002872F8">
      <w:pPr>
        <w:pStyle w:val="BodyText"/>
        <w:spacing w:line="276" w:lineRule="auto"/>
        <w:contextualSpacing/>
        <w:rPr>
          <w:rFonts w:cs="Arial"/>
          <w:sz w:val="22"/>
          <w:szCs w:val="22"/>
        </w:rPr>
      </w:pPr>
      <w:r w:rsidRPr="00271024">
        <w:rPr>
          <w:rFonts w:cs="Arial"/>
          <w:sz w:val="22"/>
          <w:szCs w:val="22"/>
        </w:rPr>
        <w:t xml:space="preserve">- </w:t>
      </w:r>
      <w:r>
        <w:rPr>
          <w:rFonts w:cs="Arial"/>
          <w:sz w:val="22"/>
          <w:szCs w:val="22"/>
        </w:rPr>
        <w:t>R</w:t>
      </w:r>
      <w:r w:rsidRPr="00271024">
        <w:rPr>
          <w:rFonts w:cs="Arial"/>
          <w:sz w:val="22"/>
          <w:szCs w:val="22"/>
        </w:rPr>
        <w:t>isk factors for a pleural bleed (for example an uncorrectable coagulopathy)</w:t>
      </w:r>
    </w:p>
    <w:p w14:paraId="1B943DBF" w14:textId="77777777" w:rsidR="002872F8" w:rsidRPr="00271024" w:rsidRDefault="002872F8" w:rsidP="002872F8">
      <w:pPr>
        <w:pStyle w:val="BodyText"/>
        <w:spacing w:line="276" w:lineRule="auto"/>
        <w:contextualSpacing/>
        <w:rPr>
          <w:rFonts w:cs="Arial"/>
          <w:sz w:val="22"/>
          <w:szCs w:val="22"/>
        </w:rPr>
      </w:pPr>
      <w:r w:rsidRPr="00271024">
        <w:rPr>
          <w:rFonts w:cs="Arial"/>
          <w:sz w:val="22"/>
          <w:szCs w:val="22"/>
        </w:rPr>
        <w:t>- Severe hepatic or renal impairment</w:t>
      </w:r>
    </w:p>
    <w:p w14:paraId="38A109C0" w14:textId="29E4FA6F" w:rsidR="002872F8" w:rsidRDefault="002872F8" w:rsidP="002872F8">
      <w:pPr>
        <w:pStyle w:val="BodyText"/>
        <w:spacing w:line="276" w:lineRule="auto"/>
        <w:contextualSpacing/>
        <w:rPr>
          <w:rFonts w:cs="Arial"/>
          <w:b/>
        </w:rPr>
      </w:pPr>
      <w:r w:rsidRPr="00271024">
        <w:rPr>
          <w:rFonts w:cs="Arial"/>
          <w:sz w:val="22"/>
          <w:szCs w:val="22"/>
        </w:rPr>
        <w:t xml:space="preserve">- Patients on anticoagulation with warfarin or </w:t>
      </w:r>
      <w:r>
        <w:rPr>
          <w:rFonts w:cs="Arial"/>
          <w:sz w:val="22"/>
          <w:szCs w:val="22"/>
        </w:rPr>
        <w:t>Direct</w:t>
      </w:r>
      <w:r w:rsidRPr="00271024">
        <w:rPr>
          <w:rFonts w:cs="Arial"/>
          <w:sz w:val="22"/>
          <w:szCs w:val="22"/>
        </w:rPr>
        <w:t xml:space="preserve"> Oral Anticoagulants (</w:t>
      </w:r>
      <w:r>
        <w:rPr>
          <w:rFonts w:cs="Arial"/>
          <w:sz w:val="22"/>
          <w:szCs w:val="22"/>
        </w:rPr>
        <w:t>D</w:t>
      </w:r>
      <w:r w:rsidRPr="00271024">
        <w:rPr>
          <w:rFonts w:cs="Arial"/>
          <w:sz w:val="22"/>
          <w:szCs w:val="22"/>
        </w:rPr>
        <w:t xml:space="preserve">OACs) </w:t>
      </w:r>
      <w:r>
        <w:rPr>
          <w:rFonts w:cs="Arial"/>
          <w:b/>
        </w:rPr>
        <w:br w:type="page"/>
      </w:r>
    </w:p>
    <w:p w14:paraId="14FFCC77" w14:textId="77777777" w:rsidR="002872F8" w:rsidRPr="00271024" w:rsidRDefault="002872F8" w:rsidP="002872F8">
      <w:pPr>
        <w:spacing w:after="0"/>
        <w:contextualSpacing/>
        <w:rPr>
          <w:rFonts w:ascii="Arial" w:hAnsi="Arial" w:cs="Arial"/>
          <w:b/>
        </w:rPr>
      </w:pPr>
      <w:r w:rsidRPr="00271024">
        <w:rPr>
          <w:rFonts w:ascii="Arial" w:hAnsi="Arial" w:cs="Arial"/>
          <w:b/>
        </w:rPr>
        <w:lastRenderedPageBreak/>
        <w:t>Initiating Criteria</w:t>
      </w:r>
    </w:p>
    <w:p w14:paraId="3453B02C" w14:textId="77777777" w:rsidR="002872F8" w:rsidRPr="00271024" w:rsidRDefault="002872F8" w:rsidP="002872F8">
      <w:pPr>
        <w:spacing w:after="0"/>
        <w:contextualSpacing/>
        <w:rPr>
          <w:rFonts w:ascii="Arial" w:hAnsi="Arial" w:cs="Arial"/>
        </w:rPr>
      </w:pPr>
    </w:p>
    <w:tbl>
      <w:tblPr>
        <w:tblStyle w:val="TableGrid"/>
        <w:tblW w:w="0" w:type="auto"/>
        <w:tblLook w:val="04A0" w:firstRow="1" w:lastRow="0" w:firstColumn="1" w:lastColumn="0" w:noHBand="0" w:noVBand="1"/>
      </w:tblPr>
      <w:tblGrid>
        <w:gridCol w:w="3999"/>
        <w:gridCol w:w="6481"/>
      </w:tblGrid>
      <w:tr w:rsidR="002872F8" w:rsidRPr="00271024" w14:paraId="6A47CA28" w14:textId="77777777" w:rsidTr="00AF6606">
        <w:tc>
          <w:tcPr>
            <w:tcW w:w="4077" w:type="dxa"/>
            <w:shd w:val="clear" w:color="auto" w:fill="D9D9D9" w:themeFill="background1" w:themeFillShade="D9"/>
          </w:tcPr>
          <w:p w14:paraId="099A51A4" w14:textId="77777777" w:rsidR="002872F8" w:rsidRPr="00271024" w:rsidRDefault="002872F8" w:rsidP="00AF6606">
            <w:pPr>
              <w:contextualSpacing/>
              <w:rPr>
                <w:rFonts w:ascii="Arial" w:hAnsi="Arial" w:cs="Arial"/>
                <w:b/>
              </w:rPr>
            </w:pPr>
            <w:r w:rsidRPr="00271024">
              <w:rPr>
                <w:rFonts w:ascii="Arial" w:hAnsi="Arial" w:cs="Arial"/>
                <w:b/>
              </w:rPr>
              <w:t>Criteria</w:t>
            </w:r>
          </w:p>
        </w:tc>
        <w:tc>
          <w:tcPr>
            <w:tcW w:w="6605" w:type="dxa"/>
            <w:shd w:val="clear" w:color="auto" w:fill="D9D9D9" w:themeFill="background1" w:themeFillShade="D9"/>
          </w:tcPr>
          <w:p w14:paraId="003AC943" w14:textId="77777777" w:rsidR="002872F8" w:rsidRPr="00271024" w:rsidRDefault="002872F8" w:rsidP="00AF6606">
            <w:pPr>
              <w:contextualSpacing/>
              <w:rPr>
                <w:rFonts w:ascii="Arial" w:hAnsi="Arial" w:cs="Arial"/>
                <w:b/>
              </w:rPr>
            </w:pPr>
            <w:r w:rsidRPr="00271024">
              <w:rPr>
                <w:rFonts w:ascii="Arial" w:hAnsi="Arial" w:cs="Arial"/>
                <w:b/>
              </w:rPr>
              <w:t>Investigations/results</w:t>
            </w:r>
          </w:p>
        </w:tc>
      </w:tr>
      <w:tr w:rsidR="002872F8" w:rsidRPr="00271024" w14:paraId="204C9042" w14:textId="77777777" w:rsidTr="00AF6606">
        <w:tc>
          <w:tcPr>
            <w:tcW w:w="4077" w:type="dxa"/>
          </w:tcPr>
          <w:p w14:paraId="5F2350EC" w14:textId="77777777" w:rsidR="002872F8" w:rsidRPr="00271024" w:rsidRDefault="002872F8" w:rsidP="00AF6606">
            <w:pPr>
              <w:contextualSpacing/>
              <w:rPr>
                <w:rFonts w:ascii="Arial" w:hAnsi="Arial" w:cs="Arial"/>
              </w:rPr>
            </w:pPr>
            <w:r w:rsidRPr="00271024">
              <w:rPr>
                <w:rFonts w:ascii="Arial" w:hAnsi="Arial" w:cs="Arial"/>
              </w:rPr>
              <w:t xml:space="preserve">Initial Management </w:t>
            </w:r>
          </w:p>
        </w:tc>
        <w:tc>
          <w:tcPr>
            <w:tcW w:w="6605" w:type="dxa"/>
          </w:tcPr>
          <w:p w14:paraId="68E467A4" w14:textId="77777777" w:rsidR="002872F8" w:rsidRDefault="002872F8" w:rsidP="00AF6606">
            <w:pPr>
              <w:contextualSpacing/>
              <w:rPr>
                <w:rFonts w:ascii="Arial" w:hAnsi="Arial" w:cs="Arial"/>
              </w:rPr>
            </w:pPr>
            <w:r>
              <w:rPr>
                <w:rFonts w:ascii="Arial" w:hAnsi="Arial" w:cs="Arial"/>
              </w:rPr>
              <w:t>R</w:t>
            </w:r>
            <w:r w:rsidRPr="00271024">
              <w:rPr>
                <w:rFonts w:ascii="Arial" w:hAnsi="Arial" w:cs="Arial"/>
              </w:rPr>
              <w:t xml:space="preserve">adiological evidence of persistent infected effusion despite 24 hours of attempted drainage </w:t>
            </w:r>
            <w:r>
              <w:rPr>
                <w:rFonts w:ascii="Arial" w:hAnsi="Arial" w:cs="Arial"/>
              </w:rPr>
              <w:t xml:space="preserve">with an appropriately sited and patent drain </w:t>
            </w:r>
            <w:r w:rsidRPr="00271024">
              <w:rPr>
                <w:rFonts w:ascii="Arial" w:hAnsi="Arial" w:cs="Arial"/>
              </w:rPr>
              <w:t>and appropriate antibiotic therapy</w:t>
            </w:r>
          </w:p>
          <w:p w14:paraId="1D68ECBA" w14:textId="77777777" w:rsidR="002872F8" w:rsidRPr="00F463B3" w:rsidRDefault="002872F8" w:rsidP="00AF6606">
            <w:pPr>
              <w:contextualSpacing/>
              <w:rPr>
                <w:rFonts w:ascii="Arial" w:hAnsi="Arial" w:cs="Arial"/>
                <w:b/>
              </w:rPr>
            </w:pPr>
            <w:r w:rsidRPr="00F463B3">
              <w:rPr>
                <w:rFonts w:ascii="Arial" w:hAnsi="Arial" w:cs="Arial"/>
                <w:b/>
              </w:rPr>
              <w:t>AND</w:t>
            </w:r>
          </w:p>
          <w:p w14:paraId="5D4E4F7F" w14:textId="77777777" w:rsidR="002872F8" w:rsidRPr="00271024" w:rsidRDefault="002872F8" w:rsidP="00AF6606">
            <w:pPr>
              <w:contextualSpacing/>
              <w:rPr>
                <w:rFonts w:ascii="Arial" w:hAnsi="Arial" w:cs="Arial"/>
              </w:rPr>
            </w:pPr>
            <w:r>
              <w:rPr>
                <w:rFonts w:ascii="Arial" w:hAnsi="Arial" w:cs="Arial"/>
              </w:rPr>
              <w:t>An inadequate or incomplete clinical response to appropriate antibiotic treatment</w:t>
            </w:r>
          </w:p>
        </w:tc>
      </w:tr>
      <w:tr w:rsidR="002872F8" w:rsidRPr="00271024" w14:paraId="7E55B7B5" w14:textId="77777777" w:rsidTr="00AF6606">
        <w:tc>
          <w:tcPr>
            <w:tcW w:w="4077" w:type="dxa"/>
          </w:tcPr>
          <w:p w14:paraId="3446F4A4" w14:textId="77777777" w:rsidR="002872F8" w:rsidRPr="00271024" w:rsidRDefault="002872F8" w:rsidP="00AF6606">
            <w:pPr>
              <w:contextualSpacing/>
              <w:rPr>
                <w:rFonts w:ascii="Arial" w:hAnsi="Arial" w:cs="Arial"/>
              </w:rPr>
            </w:pPr>
            <w:r w:rsidRPr="00271024">
              <w:rPr>
                <w:rFonts w:ascii="Arial" w:hAnsi="Arial" w:cs="Arial"/>
              </w:rPr>
              <w:t>Clinical evidence of pleural infection</w:t>
            </w:r>
          </w:p>
        </w:tc>
        <w:tc>
          <w:tcPr>
            <w:tcW w:w="6605" w:type="dxa"/>
          </w:tcPr>
          <w:p w14:paraId="2124080E" w14:textId="77777777" w:rsidR="002872F8" w:rsidRPr="00271024" w:rsidRDefault="002872F8" w:rsidP="00AF6606">
            <w:pPr>
              <w:contextualSpacing/>
              <w:rPr>
                <w:rFonts w:ascii="Arial" w:hAnsi="Arial" w:cs="Arial"/>
              </w:rPr>
            </w:pPr>
            <w:r w:rsidRPr="00271024">
              <w:rPr>
                <w:rFonts w:ascii="Arial" w:hAnsi="Arial" w:cs="Arial"/>
              </w:rPr>
              <w:t xml:space="preserve">Macroscopically purulent pleural fluid </w:t>
            </w:r>
            <w:r w:rsidRPr="00271024">
              <w:rPr>
                <w:rFonts w:ascii="Arial" w:hAnsi="Arial" w:cs="Arial"/>
                <w:b/>
              </w:rPr>
              <w:t>OR</w:t>
            </w:r>
            <w:r w:rsidRPr="00271024">
              <w:rPr>
                <w:rFonts w:ascii="Arial" w:hAnsi="Arial" w:cs="Arial"/>
              </w:rPr>
              <w:t xml:space="preserve"> pleural fluid positive for bacteria on Gram Stain or positive culture </w:t>
            </w:r>
            <w:r w:rsidRPr="00271024">
              <w:rPr>
                <w:rFonts w:ascii="Arial" w:hAnsi="Arial" w:cs="Arial"/>
                <w:b/>
              </w:rPr>
              <w:t>OR</w:t>
            </w:r>
            <w:r w:rsidRPr="00271024">
              <w:rPr>
                <w:rFonts w:ascii="Arial" w:hAnsi="Arial" w:cs="Arial"/>
              </w:rPr>
              <w:t xml:space="preserve"> pleural fluid with a pH &lt;7.2 in a patient with clinical evidence of infection</w:t>
            </w:r>
            <w:r>
              <w:rPr>
                <w:rFonts w:ascii="Arial" w:hAnsi="Arial" w:cs="Arial"/>
              </w:rPr>
              <w:t xml:space="preserve"> OR clinical evidence of infection with imaging indicating loculated empyema</w:t>
            </w:r>
          </w:p>
        </w:tc>
      </w:tr>
      <w:tr w:rsidR="002872F8" w:rsidRPr="00271024" w14:paraId="601F6AED" w14:textId="77777777" w:rsidTr="00AF6606">
        <w:tc>
          <w:tcPr>
            <w:tcW w:w="4077" w:type="dxa"/>
          </w:tcPr>
          <w:p w14:paraId="3975848E" w14:textId="77777777" w:rsidR="002872F8" w:rsidRPr="00271024" w:rsidRDefault="002872F8" w:rsidP="00AF6606">
            <w:pPr>
              <w:contextualSpacing/>
              <w:rPr>
                <w:rFonts w:ascii="Arial" w:hAnsi="Arial" w:cs="Arial"/>
              </w:rPr>
            </w:pPr>
            <w:r>
              <w:rPr>
                <w:rFonts w:ascii="Arial" w:hAnsi="Arial" w:cs="Arial"/>
              </w:rPr>
              <w:t>Confirmation of drain position</w:t>
            </w:r>
          </w:p>
        </w:tc>
        <w:tc>
          <w:tcPr>
            <w:tcW w:w="6605" w:type="dxa"/>
          </w:tcPr>
          <w:p w14:paraId="6C6B0157" w14:textId="77777777" w:rsidR="002872F8" w:rsidRPr="00271024" w:rsidRDefault="002872F8" w:rsidP="00AF6606">
            <w:pPr>
              <w:contextualSpacing/>
              <w:rPr>
                <w:rFonts w:ascii="Arial" w:hAnsi="Arial" w:cs="Arial"/>
              </w:rPr>
            </w:pPr>
            <w:r>
              <w:rPr>
                <w:rFonts w:ascii="Arial" w:hAnsi="Arial" w:cs="Arial"/>
              </w:rPr>
              <w:t xml:space="preserve">Either ≥ 200ml of pleural fluid drained via the drain </w:t>
            </w:r>
            <w:r w:rsidRPr="00180ECF">
              <w:rPr>
                <w:rFonts w:ascii="Arial" w:hAnsi="Arial" w:cs="Arial"/>
                <w:b/>
                <w:bCs/>
              </w:rPr>
              <w:t>OR</w:t>
            </w:r>
            <w:r>
              <w:rPr>
                <w:rFonts w:ascii="Arial" w:hAnsi="Arial" w:cs="Arial"/>
              </w:rPr>
              <w:t xml:space="preserve"> a CT scan confirming of chest drain position</w:t>
            </w:r>
          </w:p>
        </w:tc>
      </w:tr>
    </w:tbl>
    <w:p w14:paraId="3055FDE9" w14:textId="77777777" w:rsidR="002872F8" w:rsidRPr="00271024" w:rsidRDefault="002872F8" w:rsidP="002872F8">
      <w:pPr>
        <w:spacing w:after="0"/>
        <w:contextualSpacing/>
        <w:rPr>
          <w:rFonts w:ascii="Arial" w:hAnsi="Arial" w:cs="Arial"/>
        </w:rPr>
      </w:pPr>
    </w:p>
    <w:p w14:paraId="6DFA9820" w14:textId="77777777" w:rsidR="002872F8" w:rsidRPr="00271024" w:rsidRDefault="002872F8" w:rsidP="002872F8">
      <w:pPr>
        <w:spacing w:after="0"/>
        <w:contextualSpacing/>
        <w:rPr>
          <w:rFonts w:ascii="Arial" w:hAnsi="Arial" w:cs="Arial"/>
          <w:b/>
        </w:rPr>
      </w:pPr>
      <w:r w:rsidRPr="00271024">
        <w:rPr>
          <w:rFonts w:ascii="Arial" w:hAnsi="Arial" w:cs="Arial"/>
          <w:b/>
        </w:rPr>
        <w:t>Regimen</w:t>
      </w:r>
    </w:p>
    <w:p w14:paraId="41AB0494" w14:textId="77777777" w:rsidR="002872F8" w:rsidRPr="00271024" w:rsidRDefault="002872F8" w:rsidP="002872F8">
      <w:pPr>
        <w:spacing w:after="0"/>
        <w:contextualSpacing/>
        <w:rPr>
          <w:rFonts w:ascii="Arial" w:hAnsi="Arial" w:cs="Arial"/>
        </w:rPr>
      </w:pPr>
    </w:p>
    <w:tbl>
      <w:tblPr>
        <w:tblStyle w:val="TableGrid"/>
        <w:tblW w:w="0" w:type="auto"/>
        <w:tblLook w:val="04A0" w:firstRow="1" w:lastRow="0" w:firstColumn="1" w:lastColumn="0" w:noHBand="0" w:noVBand="1"/>
      </w:tblPr>
      <w:tblGrid>
        <w:gridCol w:w="1514"/>
        <w:gridCol w:w="3732"/>
        <w:gridCol w:w="2620"/>
        <w:gridCol w:w="2614"/>
      </w:tblGrid>
      <w:tr w:rsidR="002872F8" w:rsidRPr="00FF42B8" w14:paraId="08388494" w14:textId="77777777" w:rsidTr="00AF6606">
        <w:tc>
          <w:tcPr>
            <w:tcW w:w="1526" w:type="dxa"/>
            <w:shd w:val="clear" w:color="auto" w:fill="D9D9D9" w:themeFill="background1" w:themeFillShade="D9"/>
          </w:tcPr>
          <w:p w14:paraId="58DB6C78" w14:textId="77777777" w:rsidR="002872F8" w:rsidRPr="00FF42B8" w:rsidRDefault="002872F8" w:rsidP="00AF6606">
            <w:pPr>
              <w:contextualSpacing/>
              <w:rPr>
                <w:rFonts w:ascii="Arial" w:hAnsi="Arial" w:cs="Arial"/>
                <w:b/>
              </w:rPr>
            </w:pPr>
            <w:r w:rsidRPr="00FF42B8">
              <w:rPr>
                <w:rFonts w:ascii="Arial" w:hAnsi="Arial" w:cs="Arial"/>
                <w:b/>
              </w:rPr>
              <w:t>Drug name</w:t>
            </w:r>
          </w:p>
        </w:tc>
        <w:tc>
          <w:tcPr>
            <w:tcW w:w="3814" w:type="dxa"/>
            <w:shd w:val="clear" w:color="auto" w:fill="D9D9D9" w:themeFill="background1" w:themeFillShade="D9"/>
          </w:tcPr>
          <w:p w14:paraId="74DD151A" w14:textId="77777777" w:rsidR="002872F8" w:rsidRPr="00FF42B8" w:rsidRDefault="002872F8" w:rsidP="00AF6606">
            <w:pPr>
              <w:contextualSpacing/>
              <w:rPr>
                <w:rFonts w:ascii="Arial" w:hAnsi="Arial" w:cs="Arial"/>
                <w:b/>
              </w:rPr>
            </w:pPr>
            <w:r w:rsidRPr="00FF42B8">
              <w:rPr>
                <w:rFonts w:ascii="Arial" w:hAnsi="Arial" w:cs="Arial"/>
                <w:b/>
              </w:rPr>
              <w:t xml:space="preserve">Dose (administered </w:t>
            </w:r>
            <w:proofErr w:type="spellStart"/>
            <w:r w:rsidRPr="00FF42B8">
              <w:rPr>
                <w:rFonts w:ascii="Arial" w:hAnsi="Arial" w:cs="Arial"/>
                <w:b/>
              </w:rPr>
              <w:t>intrapleurally</w:t>
            </w:r>
            <w:proofErr w:type="spellEnd"/>
            <w:r w:rsidRPr="00FF42B8">
              <w:rPr>
                <w:rFonts w:ascii="Arial" w:hAnsi="Arial" w:cs="Arial"/>
                <w:b/>
              </w:rPr>
              <w:t>)</w:t>
            </w:r>
          </w:p>
        </w:tc>
        <w:tc>
          <w:tcPr>
            <w:tcW w:w="2671" w:type="dxa"/>
            <w:shd w:val="clear" w:color="auto" w:fill="D9D9D9" w:themeFill="background1" w:themeFillShade="D9"/>
          </w:tcPr>
          <w:p w14:paraId="607F7AA8" w14:textId="77777777" w:rsidR="002872F8" w:rsidRPr="00FF42B8" w:rsidRDefault="002872F8" w:rsidP="00AF6606">
            <w:pPr>
              <w:contextualSpacing/>
              <w:rPr>
                <w:rFonts w:ascii="Arial" w:hAnsi="Arial" w:cs="Arial"/>
                <w:b/>
              </w:rPr>
            </w:pPr>
            <w:r w:rsidRPr="00FF42B8">
              <w:rPr>
                <w:rFonts w:ascii="Arial" w:hAnsi="Arial" w:cs="Arial"/>
                <w:b/>
              </w:rPr>
              <w:t>Frequency</w:t>
            </w:r>
          </w:p>
        </w:tc>
        <w:tc>
          <w:tcPr>
            <w:tcW w:w="2671" w:type="dxa"/>
            <w:shd w:val="clear" w:color="auto" w:fill="D9D9D9" w:themeFill="background1" w:themeFillShade="D9"/>
          </w:tcPr>
          <w:p w14:paraId="159174BF" w14:textId="77777777" w:rsidR="002872F8" w:rsidRPr="00FF42B8" w:rsidRDefault="002872F8" w:rsidP="00AF6606">
            <w:pPr>
              <w:contextualSpacing/>
              <w:rPr>
                <w:rFonts w:ascii="Arial" w:hAnsi="Arial" w:cs="Arial"/>
                <w:b/>
              </w:rPr>
            </w:pPr>
            <w:r w:rsidRPr="00FF42B8">
              <w:rPr>
                <w:rFonts w:ascii="Arial" w:hAnsi="Arial" w:cs="Arial"/>
                <w:b/>
              </w:rPr>
              <w:t>Duration</w:t>
            </w:r>
          </w:p>
        </w:tc>
      </w:tr>
      <w:tr w:rsidR="002872F8" w:rsidRPr="00271024" w14:paraId="193C1F7C" w14:textId="77777777" w:rsidTr="00AF6606">
        <w:tc>
          <w:tcPr>
            <w:tcW w:w="1526" w:type="dxa"/>
          </w:tcPr>
          <w:p w14:paraId="7B42D649" w14:textId="77777777" w:rsidR="002872F8" w:rsidRPr="00271024" w:rsidRDefault="002872F8" w:rsidP="00AF6606">
            <w:pPr>
              <w:contextualSpacing/>
              <w:rPr>
                <w:rFonts w:ascii="Arial" w:hAnsi="Arial" w:cs="Arial"/>
              </w:rPr>
            </w:pPr>
            <w:r w:rsidRPr="00271024">
              <w:rPr>
                <w:rFonts w:ascii="Arial" w:hAnsi="Arial" w:cs="Arial"/>
              </w:rPr>
              <w:t>Dornase alfa</w:t>
            </w:r>
          </w:p>
        </w:tc>
        <w:tc>
          <w:tcPr>
            <w:tcW w:w="3814" w:type="dxa"/>
          </w:tcPr>
          <w:p w14:paraId="4E23BB62" w14:textId="77777777" w:rsidR="002872F8" w:rsidRPr="00271024" w:rsidRDefault="002872F8" w:rsidP="00AF6606">
            <w:pPr>
              <w:contextualSpacing/>
              <w:rPr>
                <w:rFonts w:ascii="Arial" w:hAnsi="Arial" w:cs="Arial"/>
              </w:rPr>
            </w:pPr>
            <w:r w:rsidRPr="00271024">
              <w:rPr>
                <w:rFonts w:ascii="Arial" w:hAnsi="Arial" w:cs="Arial"/>
              </w:rPr>
              <w:t xml:space="preserve">5mg in </w:t>
            </w:r>
            <w:r>
              <w:rPr>
                <w:rFonts w:ascii="Arial" w:hAnsi="Arial" w:cs="Arial"/>
              </w:rPr>
              <w:t>3</w:t>
            </w:r>
            <w:r w:rsidRPr="00271024">
              <w:rPr>
                <w:rFonts w:ascii="Arial" w:hAnsi="Arial" w:cs="Arial"/>
              </w:rPr>
              <w:t xml:space="preserve">0ml 0.9% Normal Saline </w:t>
            </w:r>
          </w:p>
        </w:tc>
        <w:tc>
          <w:tcPr>
            <w:tcW w:w="2671" w:type="dxa"/>
            <w:vMerge w:val="restart"/>
          </w:tcPr>
          <w:p w14:paraId="4BD88B06" w14:textId="77777777" w:rsidR="002872F8" w:rsidRPr="00271024" w:rsidRDefault="002872F8" w:rsidP="00AF6606">
            <w:pPr>
              <w:contextualSpacing/>
              <w:rPr>
                <w:rFonts w:ascii="Arial" w:hAnsi="Arial" w:cs="Arial"/>
              </w:rPr>
            </w:pPr>
            <w:r w:rsidRPr="00271024">
              <w:rPr>
                <w:rFonts w:ascii="Arial" w:hAnsi="Arial" w:cs="Arial"/>
              </w:rPr>
              <w:t xml:space="preserve">12 </w:t>
            </w:r>
            <w:proofErr w:type="gramStart"/>
            <w:r w:rsidRPr="00271024">
              <w:rPr>
                <w:rFonts w:ascii="Arial" w:hAnsi="Arial" w:cs="Arial"/>
              </w:rPr>
              <w:t>hourly</w:t>
            </w:r>
            <w:proofErr w:type="gramEnd"/>
          </w:p>
        </w:tc>
        <w:tc>
          <w:tcPr>
            <w:tcW w:w="2671" w:type="dxa"/>
            <w:vMerge w:val="restart"/>
          </w:tcPr>
          <w:p w14:paraId="4D5A38A6" w14:textId="77777777" w:rsidR="002872F8" w:rsidRPr="00271024" w:rsidRDefault="002872F8" w:rsidP="00AF6606">
            <w:pPr>
              <w:contextualSpacing/>
              <w:rPr>
                <w:rFonts w:ascii="Arial" w:hAnsi="Arial" w:cs="Arial"/>
              </w:rPr>
            </w:pPr>
            <w:r w:rsidRPr="00271024">
              <w:rPr>
                <w:rFonts w:ascii="Arial" w:hAnsi="Arial" w:cs="Arial"/>
              </w:rPr>
              <w:t>Maximum of 3 days</w:t>
            </w:r>
          </w:p>
        </w:tc>
      </w:tr>
      <w:tr w:rsidR="002872F8" w:rsidRPr="00271024" w14:paraId="68923258" w14:textId="77777777" w:rsidTr="00AF6606">
        <w:tc>
          <w:tcPr>
            <w:tcW w:w="1526" w:type="dxa"/>
          </w:tcPr>
          <w:p w14:paraId="32909018" w14:textId="77777777" w:rsidR="002872F8" w:rsidRPr="00271024" w:rsidRDefault="002872F8" w:rsidP="00AF6606">
            <w:pPr>
              <w:contextualSpacing/>
              <w:rPr>
                <w:rFonts w:ascii="Arial" w:hAnsi="Arial" w:cs="Arial"/>
              </w:rPr>
            </w:pPr>
            <w:r w:rsidRPr="00271024">
              <w:rPr>
                <w:rFonts w:ascii="Arial" w:hAnsi="Arial" w:cs="Arial"/>
              </w:rPr>
              <w:t>Alteplase</w:t>
            </w:r>
            <w:r>
              <w:rPr>
                <w:rFonts w:ascii="Arial" w:hAnsi="Arial" w:cs="Arial"/>
              </w:rPr>
              <w:t>*</w:t>
            </w:r>
          </w:p>
        </w:tc>
        <w:tc>
          <w:tcPr>
            <w:tcW w:w="3814" w:type="dxa"/>
          </w:tcPr>
          <w:p w14:paraId="6EF4BD76" w14:textId="77777777" w:rsidR="002872F8" w:rsidRPr="00271024" w:rsidRDefault="002872F8" w:rsidP="00AF6606">
            <w:pPr>
              <w:contextualSpacing/>
              <w:rPr>
                <w:rFonts w:ascii="Arial" w:hAnsi="Arial" w:cs="Arial"/>
              </w:rPr>
            </w:pPr>
            <w:r w:rsidRPr="00271024">
              <w:rPr>
                <w:rFonts w:ascii="Arial" w:hAnsi="Arial" w:cs="Arial"/>
              </w:rPr>
              <w:t xml:space="preserve">10mg in </w:t>
            </w:r>
            <w:r>
              <w:rPr>
                <w:rFonts w:ascii="Arial" w:hAnsi="Arial" w:cs="Arial"/>
              </w:rPr>
              <w:t>3</w:t>
            </w:r>
            <w:r w:rsidRPr="00271024">
              <w:rPr>
                <w:rFonts w:ascii="Arial" w:hAnsi="Arial" w:cs="Arial"/>
              </w:rPr>
              <w:t>0ml 0.9% Normal Saline</w:t>
            </w:r>
          </w:p>
        </w:tc>
        <w:tc>
          <w:tcPr>
            <w:tcW w:w="2671" w:type="dxa"/>
            <w:vMerge/>
          </w:tcPr>
          <w:p w14:paraId="3E15426A" w14:textId="77777777" w:rsidR="002872F8" w:rsidRPr="00271024" w:rsidRDefault="002872F8" w:rsidP="00AF6606">
            <w:pPr>
              <w:contextualSpacing/>
              <w:rPr>
                <w:rFonts w:ascii="Arial" w:hAnsi="Arial" w:cs="Arial"/>
              </w:rPr>
            </w:pPr>
          </w:p>
        </w:tc>
        <w:tc>
          <w:tcPr>
            <w:tcW w:w="2671" w:type="dxa"/>
            <w:vMerge/>
          </w:tcPr>
          <w:p w14:paraId="50A1C1BC" w14:textId="77777777" w:rsidR="002872F8" w:rsidRPr="00271024" w:rsidRDefault="002872F8" w:rsidP="00AF6606">
            <w:pPr>
              <w:contextualSpacing/>
              <w:rPr>
                <w:rFonts w:ascii="Arial" w:hAnsi="Arial" w:cs="Arial"/>
              </w:rPr>
            </w:pPr>
          </w:p>
        </w:tc>
      </w:tr>
    </w:tbl>
    <w:p w14:paraId="4BA24D22" w14:textId="77777777" w:rsidR="002872F8" w:rsidRDefault="002872F8" w:rsidP="002872F8">
      <w:pPr>
        <w:spacing w:after="0"/>
        <w:rPr>
          <w:rFonts w:ascii="Arial" w:hAnsi="Arial" w:cs="Arial"/>
          <w:bCs/>
        </w:rPr>
      </w:pPr>
    </w:p>
    <w:p w14:paraId="2C75F229" w14:textId="77777777" w:rsidR="002872F8" w:rsidRPr="00416FA0" w:rsidRDefault="002872F8" w:rsidP="002872F8">
      <w:pPr>
        <w:spacing w:line="240" w:lineRule="auto"/>
        <w:rPr>
          <w:rFonts w:ascii="Arial" w:hAnsi="Arial" w:cs="Arial"/>
          <w:bCs/>
        </w:rPr>
      </w:pPr>
      <w:r w:rsidRPr="00416FA0">
        <w:rPr>
          <w:rFonts w:ascii="Arial" w:hAnsi="Arial" w:cs="Arial"/>
          <w:bCs/>
        </w:rPr>
        <w:t>*Urokinase 100,000 units in 30ml 0.9% Normal Saline</w:t>
      </w:r>
      <w:r>
        <w:rPr>
          <w:rFonts w:ascii="Arial" w:hAnsi="Arial" w:cs="Arial"/>
          <w:bCs/>
        </w:rPr>
        <w:t xml:space="preserve"> can be used instead of alteplase </w:t>
      </w:r>
      <w:proofErr w:type="gramStart"/>
      <w:r>
        <w:rPr>
          <w:rFonts w:ascii="Arial" w:hAnsi="Arial" w:cs="Arial"/>
          <w:bCs/>
        </w:rPr>
        <w:t>in the event that</w:t>
      </w:r>
      <w:proofErr w:type="gramEnd"/>
      <w:r>
        <w:rPr>
          <w:rFonts w:ascii="Arial" w:hAnsi="Arial" w:cs="Arial"/>
          <w:bCs/>
        </w:rPr>
        <w:t xml:space="preserve"> alteplase is unavailable</w:t>
      </w:r>
    </w:p>
    <w:p w14:paraId="43D7DC72" w14:textId="77777777" w:rsidR="002872F8" w:rsidRPr="00271024" w:rsidRDefault="002872F8" w:rsidP="002872F8">
      <w:pPr>
        <w:rPr>
          <w:rFonts w:ascii="Arial" w:hAnsi="Arial" w:cs="Arial"/>
          <w:b/>
        </w:rPr>
      </w:pPr>
      <w:r w:rsidRPr="00271024">
        <w:rPr>
          <w:rFonts w:ascii="Arial" w:hAnsi="Arial" w:cs="Arial"/>
          <w:b/>
        </w:rPr>
        <w:t>Administration</w:t>
      </w:r>
    </w:p>
    <w:p w14:paraId="4B30DB2E" w14:textId="77777777" w:rsidR="002872F8" w:rsidRDefault="002872F8" w:rsidP="002872F8">
      <w:pPr>
        <w:spacing w:after="0"/>
        <w:contextualSpacing/>
        <w:rPr>
          <w:rFonts w:ascii="Arial" w:hAnsi="Arial" w:cs="Arial"/>
        </w:rPr>
      </w:pPr>
      <w:r w:rsidRPr="00271024">
        <w:rPr>
          <w:rFonts w:ascii="Arial" w:hAnsi="Arial" w:cs="Arial"/>
        </w:rPr>
        <w:t xml:space="preserve">Intrapleural alteplase and dornase alfa should only be administered by </w:t>
      </w:r>
      <w:r>
        <w:rPr>
          <w:rFonts w:ascii="Arial" w:hAnsi="Arial" w:cs="Arial"/>
        </w:rPr>
        <w:t xml:space="preserve">doctors who have been trained in the administration of intrapleural medications.  </w:t>
      </w:r>
      <w:r w:rsidRPr="008630B9">
        <w:rPr>
          <w:rFonts w:ascii="Arial" w:hAnsi="Arial" w:cs="Arial"/>
          <w:b/>
        </w:rPr>
        <w:t>Both medications must be available and administered in combination</w:t>
      </w:r>
      <w:r>
        <w:rPr>
          <w:rFonts w:ascii="Arial" w:hAnsi="Arial" w:cs="Arial"/>
          <w:b/>
        </w:rPr>
        <w:t>.</w:t>
      </w:r>
      <w:r>
        <w:rPr>
          <w:rFonts w:ascii="Arial" w:hAnsi="Arial" w:cs="Arial"/>
        </w:rPr>
        <w:t xml:space="preserve"> Either medication in isolation is ineffective or may be harmful.</w:t>
      </w:r>
    </w:p>
    <w:p w14:paraId="2C553E6A" w14:textId="77777777" w:rsidR="002872F8" w:rsidRDefault="002872F8" w:rsidP="002872F8">
      <w:pPr>
        <w:spacing w:after="0"/>
        <w:contextualSpacing/>
        <w:rPr>
          <w:rFonts w:ascii="Arial" w:hAnsi="Arial" w:cs="Arial"/>
        </w:rPr>
      </w:pPr>
    </w:p>
    <w:p w14:paraId="5D484604" w14:textId="77777777" w:rsidR="002872F8" w:rsidRPr="00271024" w:rsidRDefault="002872F8" w:rsidP="002872F8">
      <w:pPr>
        <w:spacing w:after="0"/>
        <w:contextualSpacing/>
        <w:rPr>
          <w:rFonts w:ascii="Arial" w:hAnsi="Arial" w:cs="Arial"/>
          <w:b/>
        </w:rPr>
      </w:pPr>
      <w:r w:rsidRPr="00271024">
        <w:rPr>
          <w:rFonts w:ascii="Arial" w:hAnsi="Arial" w:cs="Arial"/>
          <w:b/>
        </w:rPr>
        <w:t xml:space="preserve">Equipment checklist </w:t>
      </w:r>
    </w:p>
    <w:p w14:paraId="38B2FBAB" w14:textId="77777777" w:rsidR="002872F8" w:rsidRPr="00271024" w:rsidRDefault="002872F8" w:rsidP="002872F8">
      <w:pPr>
        <w:spacing w:after="0"/>
        <w:contextualSpacing/>
        <w:rPr>
          <w:rFonts w:ascii="Arial" w:hAnsi="Arial" w:cs="Arial"/>
        </w:rPr>
      </w:pPr>
    </w:p>
    <w:tbl>
      <w:tblPr>
        <w:tblStyle w:val="TableGrid"/>
        <w:tblW w:w="10598" w:type="dxa"/>
        <w:tblLook w:val="04A0" w:firstRow="1" w:lastRow="0" w:firstColumn="1" w:lastColumn="0" w:noHBand="0" w:noVBand="1"/>
      </w:tblPr>
      <w:tblGrid>
        <w:gridCol w:w="10598"/>
      </w:tblGrid>
      <w:tr w:rsidR="002872F8" w:rsidRPr="00271024" w14:paraId="19626947" w14:textId="77777777" w:rsidTr="00AF6606">
        <w:tc>
          <w:tcPr>
            <w:tcW w:w="10598" w:type="dxa"/>
          </w:tcPr>
          <w:p w14:paraId="456D9E65" w14:textId="77777777" w:rsidR="002872F8" w:rsidRPr="00271024" w:rsidRDefault="002872F8" w:rsidP="00AF6606">
            <w:pPr>
              <w:contextualSpacing/>
              <w:rPr>
                <w:rFonts w:ascii="Arial" w:hAnsi="Arial" w:cs="Arial"/>
              </w:rPr>
            </w:pPr>
            <w:r w:rsidRPr="00271024">
              <w:rPr>
                <w:rFonts w:ascii="Arial" w:hAnsi="Arial" w:cs="Arial"/>
              </w:rPr>
              <w:t>Sterile gloves</w:t>
            </w:r>
          </w:p>
        </w:tc>
      </w:tr>
      <w:tr w:rsidR="002872F8" w:rsidRPr="00271024" w14:paraId="570B8BD0" w14:textId="77777777" w:rsidTr="00AF6606">
        <w:tc>
          <w:tcPr>
            <w:tcW w:w="10598" w:type="dxa"/>
          </w:tcPr>
          <w:p w14:paraId="6F6D8170" w14:textId="77777777" w:rsidR="002872F8" w:rsidRPr="00271024" w:rsidRDefault="002872F8" w:rsidP="00AF6606">
            <w:pPr>
              <w:contextualSpacing/>
              <w:rPr>
                <w:rFonts w:ascii="Arial" w:hAnsi="Arial" w:cs="Arial"/>
              </w:rPr>
            </w:pPr>
            <w:r>
              <w:rPr>
                <w:rFonts w:ascii="Arial" w:hAnsi="Arial" w:cs="Arial"/>
              </w:rPr>
              <w:t>Chlorhexidine wipes</w:t>
            </w:r>
          </w:p>
        </w:tc>
      </w:tr>
      <w:tr w:rsidR="002872F8" w:rsidRPr="00271024" w14:paraId="18DA0ED0" w14:textId="77777777" w:rsidTr="00AF6606">
        <w:tc>
          <w:tcPr>
            <w:tcW w:w="10598" w:type="dxa"/>
          </w:tcPr>
          <w:p w14:paraId="70FF9A94" w14:textId="77777777" w:rsidR="002872F8" w:rsidRPr="00271024" w:rsidRDefault="002872F8" w:rsidP="00AF6606">
            <w:pPr>
              <w:contextualSpacing/>
              <w:rPr>
                <w:rFonts w:ascii="Arial" w:hAnsi="Arial" w:cs="Arial"/>
              </w:rPr>
            </w:pPr>
            <w:r w:rsidRPr="00271024">
              <w:rPr>
                <w:rFonts w:ascii="Arial" w:hAnsi="Arial" w:cs="Arial"/>
              </w:rPr>
              <w:t>Dressing pack</w:t>
            </w:r>
          </w:p>
        </w:tc>
      </w:tr>
      <w:tr w:rsidR="002872F8" w:rsidRPr="00271024" w14:paraId="6FC2C55F" w14:textId="77777777" w:rsidTr="00AF6606">
        <w:tc>
          <w:tcPr>
            <w:tcW w:w="10598" w:type="dxa"/>
          </w:tcPr>
          <w:p w14:paraId="0076FC89" w14:textId="77777777" w:rsidR="002872F8" w:rsidRPr="00271024" w:rsidRDefault="002872F8" w:rsidP="00AF6606">
            <w:pPr>
              <w:contextualSpacing/>
              <w:rPr>
                <w:rFonts w:ascii="Arial" w:hAnsi="Arial" w:cs="Arial"/>
              </w:rPr>
            </w:pPr>
            <w:r w:rsidRPr="00271024">
              <w:rPr>
                <w:rFonts w:ascii="Arial" w:hAnsi="Arial" w:cs="Arial"/>
              </w:rPr>
              <w:t xml:space="preserve">Dornase alfa (5mg in </w:t>
            </w:r>
            <w:r>
              <w:rPr>
                <w:rFonts w:ascii="Arial" w:hAnsi="Arial" w:cs="Arial"/>
              </w:rPr>
              <w:t>3</w:t>
            </w:r>
            <w:r w:rsidRPr="00271024">
              <w:rPr>
                <w:rFonts w:ascii="Arial" w:hAnsi="Arial" w:cs="Arial"/>
              </w:rPr>
              <w:t xml:space="preserve">0ml of NaCl 0.9%) </w:t>
            </w:r>
            <w:r w:rsidRPr="00271024">
              <w:rPr>
                <w:rFonts w:ascii="Arial" w:hAnsi="Arial" w:cs="Arial"/>
                <w:b/>
              </w:rPr>
              <w:t>CLEARLY LABELLED ‘FOR INTRAPLEURAL USE ONLY’</w:t>
            </w:r>
          </w:p>
        </w:tc>
      </w:tr>
      <w:tr w:rsidR="002872F8" w:rsidRPr="00271024" w14:paraId="00FD34B1" w14:textId="77777777" w:rsidTr="00AF6606">
        <w:tc>
          <w:tcPr>
            <w:tcW w:w="10598" w:type="dxa"/>
          </w:tcPr>
          <w:p w14:paraId="1E1AB0CC" w14:textId="77777777" w:rsidR="002872F8" w:rsidRPr="00271024" w:rsidRDefault="002872F8" w:rsidP="00AF6606">
            <w:pPr>
              <w:contextualSpacing/>
              <w:rPr>
                <w:rFonts w:ascii="Arial" w:hAnsi="Arial" w:cs="Arial"/>
              </w:rPr>
            </w:pPr>
            <w:r w:rsidRPr="00271024">
              <w:rPr>
                <w:rFonts w:ascii="Arial" w:hAnsi="Arial" w:cs="Arial"/>
              </w:rPr>
              <w:t xml:space="preserve">Alteplase (10mg in </w:t>
            </w:r>
            <w:r>
              <w:rPr>
                <w:rFonts w:ascii="Arial" w:hAnsi="Arial" w:cs="Arial"/>
              </w:rPr>
              <w:t>3</w:t>
            </w:r>
            <w:r w:rsidRPr="00271024">
              <w:rPr>
                <w:rFonts w:ascii="Arial" w:hAnsi="Arial" w:cs="Arial"/>
              </w:rPr>
              <w:t xml:space="preserve">0ml NaCl 0.9%) </w:t>
            </w:r>
            <w:r w:rsidRPr="00271024">
              <w:rPr>
                <w:rFonts w:ascii="Arial" w:hAnsi="Arial" w:cs="Arial"/>
                <w:b/>
              </w:rPr>
              <w:t>CLEARLY LABELLED ‘FOR INTRAPLEURAL USE ONLY’</w:t>
            </w:r>
          </w:p>
        </w:tc>
      </w:tr>
      <w:tr w:rsidR="002872F8" w:rsidRPr="00271024" w14:paraId="4AD066F6" w14:textId="77777777" w:rsidTr="00AF6606">
        <w:tc>
          <w:tcPr>
            <w:tcW w:w="10598" w:type="dxa"/>
          </w:tcPr>
          <w:p w14:paraId="0CDB0EB8" w14:textId="77777777" w:rsidR="002872F8" w:rsidRPr="00271024" w:rsidRDefault="002872F8" w:rsidP="00AF6606">
            <w:pPr>
              <w:contextualSpacing/>
              <w:rPr>
                <w:rFonts w:ascii="Arial" w:hAnsi="Arial" w:cs="Arial"/>
              </w:rPr>
            </w:pPr>
            <w:r>
              <w:rPr>
                <w:rFonts w:ascii="Arial" w:hAnsi="Arial" w:cs="Arial"/>
              </w:rPr>
              <w:t>1 x 30m NaCl 0.9% flush</w:t>
            </w:r>
          </w:p>
        </w:tc>
      </w:tr>
      <w:tr w:rsidR="002872F8" w:rsidRPr="00271024" w14:paraId="0F8B8BD8" w14:textId="77777777" w:rsidTr="00AF6606">
        <w:tc>
          <w:tcPr>
            <w:tcW w:w="10598" w:type="dxa"/>
          </w:tcPr>
          <w:p w14:paraId="380AC099" w14:textId="77777777" w:rsidR="002872F8" w:rsidRPr="00271024" w:rsidRDefault="002872F8" w:rsidP="00AF6606">
            <w:pPr>
              <w:contextualSpacing/>
              <w:rPr>
                <w:rFonts w:ascii="Arial" w:hAnsi="Arial" w:cs="Arial"/>
              </w:rPr>
            </w:pPr>
            <w:r>
              <w:rPr>
                <w:rFonts w:ascii="Arial" w:hAnsi="Arial" w:cs="Arial"/>
              </w:rPr>
              <w:t>3</w:t>
            </w:r>
            <w:r w:rsidRPr="00271024">
              <w:rPr>
                <w:rFonts w:ascii="Arial" w:hAnsi="Arial" w:cs="Arial"/>
              </w:rPr>
              <w:t xml:space="preserve"> x 10ml NaCl 0.9% flushes</w:t>
            </w:r>
          </w:p>
        </w:tc>
      </w:tr>
    </w:tbl>
    <w:p w14:paraId="7780A446" w14:textId="77777777" w:rsidR="002872F8" w:rsidRDefault="002872F8" w:rsidP="002872F8">
      <w:pPr>
        <w:tabs>
          <w:tab w:val="left" w:pos="2595"/>
        </w:tabs>
        <w:spacing w:after="0"/>
        <w:contextualSpacing/>
        <w:rPr>
          <w:rFonts w:ascii="Arial" w:hAnsi="Arial" w:cs="Arial"/>
          <w:b/>
        </w:rPr>
      </w:pPr>
    </w:p>
    <w:p w14:paraId="1D2B0439" w14:textId="77777777" w:rsidR="002872F8" w:rsidRPr="00271024" w:rsidRDefault="002872F8" w:rsidP="002872F8">
      <w:pPr>
        <w:tabs>
          <w:tab w:val="left" w:pos="2595"/>
        </w:tabs>
        <w:spacing w:after="0"/>
        <w:contextualSpacing/>
        <w:rPr>
          <w:rFonts w:ascii="Arial" w:hAnsi="Arial" w:cs="Arial"/>
          <w:b/>
        </w:rPr>
      </w:pPr>
      <w:r w:rsidRPr="00271024">
        <w:rPr>
          <w:rFonts w:ascii="Arial" w:hAnsi="Arial" w:cs="Arial"/>
          <w:b/>
        </w:rPr>
        <w:t>Procedure checklist</w:t>
      </w:r>
      <w:r w:rsidRPr="00271024">
        <w:rPr>
          <w:rFonts w:ascii="Arial" w:hAnsi="Arial" w:cs="Arial"/>
          <w:b/>
        </w:rPr>
        <w:tab/>
      </w:r>
    </w:p>
    <w:p w14:paraId="164DBCAD" w14:textId="77777777" w:rsidR="002872F8" w:rsidRPr="00271024" w:rsidRDefault="002872F8" w:rsidP="002872F8">
      <w:pPr>
        <w:tabs>
          <w:tab w:val="left" w:pos="2595"/>
        </w:tabs>
        <w:spacing w:after="0"/>
        <w:contextualSpacing/>
        <w:rPr>
          <w:rFonts w:ascii="Arial" w:hAnsi="Arial" w:cs="Arial"/>
          <w:b/>
        </w:rPr>
      </w:pPr>
    </w:p>
    <w:tbl>
      <w:tblPr>
        <w:tblStyle w:val="TableGrid"/>
        <w:tblW w:w="0" w:type="auto"/>
        <w:tblLook w:val="04A0" w:firstRow="1" w:lastRow="0" w:firstColumn="1" w:lastColumn="0" w:noHBand="0" w:noVBand="1"/>
      </w:tblPr>
      <w:tblGrid>
        <w:gridCol w:w="10480"/>
      </w:tblGrid>
      <w:tr w:rsidR="002872F8" w:rsidRPr="00FF42B8" w14:paraId="5FF50F78" w14:textId="77777777" w:rsidTr="002872F8">
        <w:tc>
          <w:tcPr>
            <w:tcW w:w="10480" w:type="dxa"/>
            <w:shd w:val="clear" w:color="auto" w:fill="D9D9D9" w:themeFill="background1" w:themeFillShade="D9"/>
          </w:tcPr>
          <w:p w14:paraId="3F4BF4A4" w14:textId="77777777" w:rsidR="002872F8" w:rsidRPr="00FF42B8" w:rsidRDefault="002872F8" w:rsidP="00AF6606">
            <w:pPr>
              <w:contextualSpacing/>
              <w:rPr>
                <w:rFonts w:ascii="Arial" w:hAnsi="Arial" w:cs="Arial"/>
                <w:b/>
              </w:rPr>
            </w:pPr>
            <w:r w:rsidRPr="00FF42B8">
              <w:rPr>
                <w:rFonts w:ascii="Arial" w:hAnsi="Arial" w:cs="Arial"/>
                <w:b/>
              </w:rPr>
              <w:t>Prior to the procedure</w:t>
            </w:r>
          </w:p>
        </w:tc>
      </w:tr>
      <w:tr w:rsidR="002872F8" w:rsidRPr="00271024" w14:paraId="7DC977BA" w14:textId="77777777" w:rsidTr="002872F8">
        <w:tc>
          <w:tcPr>
            <w:tcW w:w="10480" w:type="dxa"/>
          </w:tcPr>
          <w:p w14:paraId="575F4AE8" w14:textId="77777777" w:rsidR="002872F8" w:rsidRPr="00271024" w:rsidRDefault="002872F8" w:rsidP="00AF6606">
            <w:pPr>
              <w:contextualSpacing/>
              <w:rPr>
                <w:rFonts w:ascii="Arial" w:hAnsi="Arial" w:cs="Arial"/>
              </w:rPr>
            </w:pPr>
            <w:r w:rsidRPr="00271024">
              <w:rPr>
                <w:rFonts w:ascii="Arial" w:hAnsi="Arial" w:cs="Arial"/>
              </w:rPr>
              <w:t>Consultant respiratory physician approval obtained</w:t>
            </w:r>
          </w:p>
        </w:tc>
      </w:tr>
      <w:tr w:rsidR="002872F8" w:rsidRPr="00271024" w14:paraId="4FF3B49C" w14:textId="77777777" w:rsidTr="002872F8">
        <w:tc>
          <w:tcPr>
            <w:tcW w:w="10480" w:type="dxa"/>
          </w:tcPr>
          <w:p w14:paraId="3503056B" w14:textId="77777777" w:rsidR="002872F8" w:rsidRPr="00271024" w:rsidRDefault="002872F8" w:rsidP="00AF6606">
            <w:pPr>
              <w:contextualSpacing/>
              <w:rPr>
                <w:rFonts w:ascii="Arial" w:hAnsi="Arial" w:cs="Arial"/>
              </w:rPr>
            </w:pPr>
            <w:r w:rsidRPr="00271024">
              <w:rPr>
                <w:rFonts w:ascii="Arial" w:hAnsi="Arial" w:cs="Arial"/>
              </w:rPr>
              <w:t xml:space="preserve">Patient consent obtained and </w:t>
            </w:r>
            <w:r>
              <w:rPr>
                <w:rFonts w:ascii="Arial" w:hAnsi="Arial" w:cs="Arial"/>
              </w:rPr>
              <w:t>procedure explained</w:t>
            </w:r>
          </w:p>
        </w:tc>
      </w:tr>
      <w:tr w:rsidR="002872F8" w:rsidRPr="00271024" w14:paraId="55F0FB76" w14:textId="77777777" w:rsidTr="002872F8">
        <w:tc>
          <w:tcPr>
            <w:tcW w:w="10480" w:type="dxa"/>
          </w:tcPr>
          <w:p w14:paraId="53649D3C" w14:textId="2BBB8E9F" w:rsidR="002872F8" w:rsidRPr="00271024" w:rsidRDefault="002872F8" w:rsidP="00AF6606">
            <w:pPr>
              <w:contextualSpacing/>
              <w:rPr>
                <w:rFonts w:ascii="Arial" w:hAnsi="Arial" w:cs="Arial"/>
              </w:rPr>
            </w:pPr>
            <w:r w:rsidRPr="00271024">
              <w:rPr>
                <w:rFonts w:ascii="Arial" w:hAnsi="Arial" w:cs="Arial"/>
              </w:rPr>
              <w:t>Ensure the patient has IV access</w:t>
            </w:r>
          </w:p>
        </w:tc>
      </w:tr>
    </w:tbl>
    <w:p w14:paraId="6F015A6A" w14:textId="77777777" w:rsidR="002872F8" w:rsidRDefault="002872F8">
      <w:r>
        <w:br w:type="page"/>
      </w:r>
    </w:p>
    <w:tbl>
      <w:tblPr>
        <w:tblStyle w:val="TableGrid"/>
        <w:tblW w:w="10682" w:type="dxa"/>
        <w:tblLayout w:type="fixed"/>
        <w:tblLook w:val="04A0" w:firstRow="1" w:lastRow="0" w:firstColumn="1" w:lastColumn="0" w:noHBand="0" w:noVBand="1"/>
      </w:tblPr>
      <w:tblGrid>
        <w:gridCol w:w="534"/>
        <w:gridCol w:w="10148"/>
      </w:tblGrid>
      <w:tr w:rsidR="002872F8" w:rsidRPr="00FF42B8" w14:paraId="231F306A" w14:textId="77777777" w:rsidTr="00AF6606">
        <w:tc>
          <w:tcPr>
            <w:tcW w:w="534" w:type="dxa"/>
            <w:shd w:val="clear" w:color="auto" w:fill="D9D9D9" w:themeFill="background1" w:themeFillShade="D9"/>
          </w:tcPr>
          <w:p w14:paraId="1A721F60" w14:textId="191D26EA" w:rsidR="002872F8" w:rsidRPr="00FF42B8" w:rsidRDefault="002872F8" w:rsidP="00AF6606">
            <w:pPr>
              <w:contextualSpacing/>
              <w:jc w:val="center"/>
              <w:rPr>
                <w:rFonts w:ascii="Arial" w:hAnsi="Arial" w:cs="Arial"/>
                <w:b/>
              </w:rPr>
            </w:pPr>
            <w:r>
              <w:lastRenderedPageBreak/>
              <w:br w:type="page"/>
            </w:r>
          </w:p>
        </w:tc>
        <w:tc>
          <w:tcPr>
            <w:tcW w:w="10148" w:type="dxa"/>
            <w:shd w:val="clear" w:color="auto" w:fill="D9D9D9" w:themeFill="background1" w:themeFillShade="D9"/>
          </w:tcPr>
          <w:p w14:paraId="272A76E0" w14:textId="77777777" w:rsidR="002872F8" w:rsidRPr="00FF42B8" w:rsidRDefault="002872F8" w:rsidP="00AF6606">
            <w:pPr>
              <w:contextualSpacing/>
              <w:rPr>
                <w:rFonts w:ascii="Arial" w:hAnsi="Arial" w:cs="Arial"/>
                <w:b/>
              </w:rPr>
            </w:pPr>
            <w:r w:rsidRPr="00FF42B8">
              <w:rPr>
                <w:rFonts w:ascii="Arial" w:hAnsi="Arial" w:cs="Arial"/>
                <w:b/>
              </w:rPr>
              <w:t>Procedure</w:t>
            </w:r>
          </w:p>
        </w:tc>
      </w:tr>
      <w:tr w:rsidR="002872F8" w:rsidRPr="00271024" w14:paraId="1FA5EEB6" w14:textId="77777777" w:rsidTr="00AF6606">
        <w:tc>
          <w:tcPr>
            <w:tcW w:w="534" w:type="dxa"/>
          </w:tcPr>
          <w:p w14:paraId="7E911F75" w14:textId="77777777" w:rsidR="002872F8" w:rsidRPr="00271024" w:rsidRDefault="002872F8" w:rsidP="00AF6606">
            <w:pPr>
              <w:contextualSpacing/>
              <w:jc w:val="center"/>
              <w:rPr>
                <w:rFonts w:ascii="Arial" w:hAnsi="Arial" w:cs="Arial"/>
              </w:rPr>
            </w:pPr>
            <w:r>
              <w:rPr>
                <w:rFonts w:ascii="Arial" w:hAnsi="Arial" w:cs="Arial"/>
              </w:rPr>
              <w:t>1</w:t>
            </w:r>
          </w:p>
        </w:tc>
        <w:tc>
          <w:tcPr>
            <w:tcW w:w="10148" w:type="dxa"/>
          </w:tcPr>
          <w:p w14:paraId="2070BA40" w14:textId="77777777" w:rsidR="002872F8" w:rsidRPr="00271024" w:rsidRDefault="002872F8" w:rsidP="00AF6606">
            <w:pPr>
              <w:contextualSpacing/>
              <w:rPr>
                <w:rFonts w:ascii="Arial" w:hAnsi="Arial" w:cs="Arial"/>
              </w:rPr>
            </w:pPr>
            <w:r w:rsidRPr="00271024">
              <w:rPr>
                <w:rFonts w:ascii="Arial" w:hAnsi="Arial" w:cs="Arial"/>
              </w:rPr>
              <w:t>Ensure all necessary equipment</w:t>
            </w:r>
            <w:r>
              <w:rPr>
                <w:rFonts w:ascii="Arial" w:hAnsi="Arial" w:cs="Arial"/>
              </w:rPr>
              <w:t xml:space="preserve"> and drugs are </w:t>
            </w:r>
            <w:r w:rsidRPr="00271024">
              <w:rPr>
                <w:rFonts w:ascii="Arial" w:hAnsi="Arial" w:cs="Arial"/>
              </w:rPr>
              <w:t>obtained</w:t>
            </w:r>
            <w:r>
              <w:rPr>
                <w:rFonts w:ascii="Arial" w:hAnsi="Arial" w:cs="Arial"/>
              </w:rPr>
              <w:t xml:space="preserve"> and prescribed on EPR</w:t>
            </w:r>
            <w:r w:rsidRPr="00271024">
              <w:rPr>
                <w:rFonts w:ascii="Arial" w:hAnsi="Arial" w:cs="Arial"/>
              </w:rPr>
              <w:t xml:space="preserve"> (see list above)</w:t>
            </w:r>
          </w:p>
        </w:tc>
      </w:tr>
      <w:tr w:rsidR="002872F8" w:rsidRPr="00271024" w14:paraId="45B50BE6" w14:textId="77777777" w:rsidTr="00AF6606">
        <w:tc>
          <w:tcPr>
            <w:tcW w:w="534" w:type="dxa"/>
          </w:tcPr>
          <w:p w14:paraId="3BC37E34" w14:textId="77777777" w:rsidR="002872F8" w:rsidRPr="00271024" w:rsidRDefault="002872F8" w:rsidP="00AF6606">
            <w:pPr>
              <w:contextualSpacing/>
              <w:jc w:val="center"/>
              <w:rPr>
                <w:rFonts w:ascii="Arial" w:hAnsi="Arial" w:cs="Arial"/>
              </w:rPr>
            </w:pPr>
            <w:r>
              <w:rPr>
                <w:rFonts w:ascii="Arial" w:hAnsi="Arial" w:cs="Arial"/>
              </w:rPr>
              <w:t>2</w:t>
            </w:r>
          </w:p>
        </w:tc>
        <w:tc>
          <w:tcPr>
            <w:tcW w:w="10148" w:type="dxa"/>
          </w:tcPr>
          <w:p w14:paraId="55CD72AC" w14:textId="77777777" w:rsidR="002872F8" w:rsidRPr="00271024" w:rsidRDefault="002872F8" w:rsidP="00AF6606">
            <w:pPr>
              <w:contextualSpacing/>
              <w:rPr>
                <w:rFonts w:ascii="Arial" w:hAnsi="Arial" w:cs="Arial"/>
              </w:rPr>
            </w:pPr>
            <w:r w:rsidRPr="00271024">
              <w:rPr>
                <w:rFonts w:ascii="Arial" w:hAnsi="Arial" w:cs="Arial"/>
              </w:rPr>
              <w:t xml:space="preserve">Confirm position </w:t>
            </w:r>
            <w:r>
              <w:rPr>
                <w:rFonts w:ascii="Arial" w:hAnsi="Arial" w:cs="Arial"/>
              </w:rPr>
              <w:t xml:space="preserve">and patency </w:t>
            </w:r>
            <w:r w:rsidRPr="00271024">
              <w:rPr>
                <w:rFonts w:ascii="Arial" w:hAnsi="Arial" w:cs="Arial"/>
              </w:rPr>
              <w:t xml:space="preserve">of the intercostal drain (complete with 3-way tap) </w:t>
            </w:r>
            <w:r>
              <w:rPr>
                <w:rFonts w:ascii="Arial" w:hAnsi="Arial" w:cs="Arial"/>
              </w:rPr>
              <w:t xml:space="preserve">with imaging and </w:t>
            </w:r>
            <w:r w:rsidRPr="00271024">
              <w:rPr>
                <w:rFonts w:ascii="Arial" w:hAnsi="Arial" w:cs="Arial"/>
              </w:rPr>
              <w:t xml:space="preserve">by flushing with </w:t>
            </w:r>
            <w:r>
              <w:rPr>
                <w:rFonts w:ascii="Arial" w:hAnsi="Arial" w:cs="Arial"/>
              </w:rPr>
              <w:t>3</w:t>
            </w:r>
            <w:r w:rsidRPr="00271024">
              <w:rPr>
                <w:rFonts w:ascii="Arial" w:hAnsi="Arial" w:cs="Arial"/>
              </w:rPr>
              <w:t>0mls 0.9% NaCl; confirm there is no leakage around the tube</w:t>
            </w:r>
          </w:p>
        </w:tc>
      </w:tr>
      <w:tr w:rsidR="002872F8" w:rsidRPr="00271024" w14:paraId="4E72DB7B" w14:textId="77777777" w:rsidTr="00AF6606">
        <w:tc>
          <w:tcPr>
            <w:tcW w:w="534" w:type="dxa"/>
          </w:tcPr>
          <w:p w14:paraId="4D96411C" w14:textId="77777777" w:rsidR="002872F8" w:rsidRPr="00271024" w:rsidRDefault="002872F8" w:rsidP="00AF6606">
            <w:pPr>
              <w:contextualSpacing/>
              <w:jc w:val="center"/>
              <w:rPr>
                <w:rFonts w:ascii="Arial" w:hAnsi="Arial" w:cs="Arial"/>
              </w:rPr>
            </w:pPr>
            <w:r>
              <w:rPr>
                <w:rFonts w:ascii="Arial" w:hAnsi="Arial" w:cs="Arial"/>
              </w:rPr>
              <w:t>3</w:t>
            </w:r>
          </w:p>
        </w:tc>
        <w:tc>
          <w:tcPr>
            <w:tcW w:w="10148" w:type="dxa"/>
          </w:tcPr>
          <w:p w14:paraId="184C9EC0" w14:textId="77777777" w:rsidR="002872F8" w:rsidRPr="00271024" w:rsidRDefault="002872F8" w:rsidP="00AF6606">
            <w:pPr>
              <w:contextualSpacing/>
              <w:rPr>
                <w:rFonts w:ascii="Arial" w:hAnsi="Arial" w:cs="Arial"/>
              </w:rPr>
            </w:pPr>
            <w:r w:rsidRPr="00271024">
              <w:rPr>
                <w:rFonts w:ascii="Arial" w:hAnsi="Arial" w:cs="Arial"/>
              </w:rPr>
              <w:t xml:space="preserve">Ensure 3-way tap is off to the </w:t>
            </w:r>
            <w:r>
              <w:rPr>
                <w:rFonts w:ascii="Arial" w:hAnsi="Arial" w:cs="Arial"/>
              </w:rPr>
              <w:t>side port</w:t>
            </w:r>
            <w:r w:rsidRPr="00271024">
              <w:rPr>
                <w:rFonts w:ascii="Arial" w:hAnsi="Arial" w:cs="Arial"/>
              </w:rPr>
              <w:t xml:space="preserve"> (i.e. open from pleural space through to underwater seal</w:t>
            </w:r>
            <w:r>
              <w:rPr>
                <w:rFonts w:ascii="Arial" w:hAnsi="Arial" w:cs="Arial"/>
              </w:rPr>
              <w:t xml:space="preserve"> – </w:t>
            </w:r>
            <w:r>
              <w:rPr>
                <w:rFonts w:ascii="Arial" w:hAnsi="Arial" w:cs="Arial"/>
                <w:i/>
              </w:rPr>
              <w:t>F</w:t>
            </w:r>
            <w:r w:rsidRPr="00CB2E27">
              <w:rPr>
                <w:rFonts w:ascii="Arial" w:hAnsi="Arial" w:cs="Arial"/>
                <w:i/>
              </w:rPr>
              <w:t>igure 1</w:t>
            </w:r>
            <w:r w:rsidRPr="00271024">
              <w:rPr>
                <w:rFonts w:ascii="Arial" w:hAnsi="Arial" w:cs="Arial"/>
              </w:rPr>
              <w:t xml:space="preserve">) </w:t>
            </w:r>
          </w:p>
        </w:tc>
      </w:tr>
      <w:tr w:rsidR="002872F8" w:rsidRPr="00271024" w14:paraId="0CC2D29A" w14:textId="77777777" w:rsidTr="00AF6606">
        <w:tc>
          <w:tcPr>
            <w:tcW w:w="534" w:type="dxa"/>
          </w:tcPr>
          <w:p w14:paraId="275ACC36" w14:textId="77777777" w:rsidR="002872F8" w:rsidRDefault="002872F8" w:rsidP="00AF6606">
            <w:pPr>
              <w:contextualSpacing/>
              <w:jc w:val="center"/>
              <w:rPr>
                <w:rFonts w:ascii="Arial" w:hAnsi="Arial" w:cs="Arial"/>
              </w:rPr>
            </w:pPr>
            <w:r>
              <w:rPr>
                <w:rFonts w:ascii="Arial" w:hAnsi="Arial" w:cs="Arial"/>
              </w:rPr>
              <w:t>4</w:t>
            </w:r>
          </w:p>
        </w:tc>
        <w:tc>
          <w:tcPr>
            <w:tcW w:w="10148" w:type="dxa"/>
          </w:tcPr>
          <w:p w14:paraId="6158F4E1" w14:textId="77777777" w:rsidR="002872F8" w:rsidRDefault="002872F8" w:rsidP="00AF6606">
            <w:pPr>
              <w:contextualSpacing/>
              <w:rPr>
                <w:rFonts w:ascii="Arial" w:hAnsi="Arial" w:cs="Arial"/>
              </w:rPr>
            </w:pPr>
            <w:r>
              <w:rPr>
                <w:rFonts w:ascii="Arial" w:hAnsi="Arial" w:cs="Arial"/>
              </w:rPr>
              <w:t>Remove bung and c</w:t>
            </w:r>
            <w:r w:rsidRPr="00271024">
              <w:rPr>
                <w:rFonts w:ascii="Arial" w:hAnsi="Arial" w:cs="Arial"/>
              </w:rPr>
              <w:t xml:space="preserve">lean the </w:t>
            </w:r>
            <w:r>
              <w:rPr>
                <w:rFonts w:ascii="Arial" w:hAnsi="Arial" w:cs="Arial"/>
              </w:rPr>
              <w:t>side</w:t>
            </w:r>
            <w:r w:rsidRPr="00271024">
              <w:rPr>
                <w:rFonts w:ascii="Arial" w:hAnsi="Arial" w:cs="Arial"/>
              </w:rPr>
              <w:t xml:space="preserve"> port with</w:t>
            </w:r>
            <w:r>
              <w:rPr>
                <w:rFonts w:ascii="Arial" w:hAnsi="Arial" w:cs="Arial"/>
              </w:rPr>
              <w:t xml:space="preserve"> a</w:t>
            </w:r>
            <w:r w:rsidRPr="00271024">
              <w:rPr>
                <w:rFonts w:ascii="Arial" w:hAnsi="Arial" w:cs="Arial"/>
              </w:rPr>
              <w:t xml:space="preserve"> chlorhexidine wipe</w:t>
            </w:r>
          </w:p>
          <w:p w14:paraId="2CB73D99" w14:textId="77777777" w:rsidR="002872F8" w:rsidRPr="00271024" w:rsidRDefault="002872F8" w:rsidP="00AF6606">
            <w:pPr>
              <w:contextualSpacing/>
              <w:rPr>
                <w:rFonts w:ascii="Arial" w:hAnsi="Arial" w:cs="Arial"/>
              </w:rPr>
            </w:pPr>
          </w:p>
        </w:tc>
      </w:tr>
      <w:tr w:rsidR="002872F8" w:rsidRPr="00271024" w14:paraId="7A2F9D01" w14:textId="77777777" w:rsidTr="00AF6606">
        <w:tc>
          <w:tcPr>
            <w:tcW w:w="534" w:type="dxa"/>
          </w:tcPr>
          <w:p w14:paraId="29162461" w14:textId="77777777" w:rsidR="002872F8" w:rsidRPr="00271024" w:rsidRDefault="002872F8" w:rsidP="00AF6606">
            <w:pPr>
              <w:contextualSpacing/>
              <w:jc w:val="center"/>
              <w:rPr>
                <w:rFonts w:ascii="Arial" w:hAnsi="Arial" w:cs="Arial"/>
              </w:rPr>
            </w:pPr>
            <w:r>
              <w:rPr>
                <w:rFonts w:ascii="Arial" w:hAnsi="Arial" w:cs="Arial"/>
              </w:rPr>
              <w:t>5</w:t>
            </w:r>
          </w:p>
        </w:tc>
        <w:tc>
          <w:tcPr>
            <w:tcW w:w="10148" w:type="dxa"/>
          </w:tcPr>
          <w:p w14:paraId="517E6D30" w14:textId="77777777" w:rsidR="002872F8" w:rsidRPr="00271024" w:rsidRDefault="002872F8" w:rsidP="00AF6606">
            <w:pPr>
              <w:contextualSpacing/>
              <w:rPr>
                <w:rFonts w:ascii="Arial" w:hAnsi="Arial" w:cs="Arial"/>
              </w:rPr>
            </w:pPr>
            <w:r w:rsidRPr="00271024">
              <w:rPr>
                <w:rFonts w:ascii="Arial" w:hAnsi="Arial" w:cs="Arial"/>
              </w:rPr>
              <w:t xml:space="preserve">Attach first </w:t>
            </w:r>
            <w:r>
              <w:rPr>
                <w:rFonts w:ascii="Arial" w:hAnsi="Arial" w:cs="Arial"/>
              </w:rPr>
              <w:t>3</w:t>
            </w:r>
            <w:r w:rsidRPr="00271024">
              <w:rPr>
                <w:rFonts w:ascii="Arial" w:hAnsi="Arial" w:cs="Arial"/>
              </w:rPr>
              <w:t xml:space="preserve">0ml syringe containing alteplase to </w:t>
            </w:r>
            <w:r>
              <w:rPr>
                <w:rFonts w:ascii="Arial" w:hAnsi="Arial" w:cs="Arial"/>
              </w:rPr>
              <w:t>side</w:t>
            </w:r>
            <w:r w:rsidRPr="00271024">
              <w:rPr>
                <w:rFonts w:ascii="Arial" w:hAnsi="Arial" w:cs="Arial"/>
              </w:rPr>
              <w:t xml:space="preserve"> port. Turn 3-way tap off to the underwater seal (i.e. open from pleural space to </w:t>
            </w:r>
            <w:r>
              <w:rPr>
                <w:rFonts w:ascii="Arial" w:hAnsi="Arial" w:cs="Arial"/>
              </w:rPr>
              <w:t>side</w:t>
            </w:r>
            <w:r w:rsidRPr="00271024">
              <w:rPr>
                <w:rFonts w:ascii="Arial" w:hAnsi="Arial" w:cs="Arial"/>
              </w:rPr>
              <w:t xml:space="preserve"> port</w:t>
            </w:r>
            <w:r>
              <w:rPr>
                <w:rFonts w:ascii="Arial" w:hAnsi="Arial" w:cs="Arial"/>
              </w:rPr>
              <w:t xml:space="preserve"> -</w:t>
            </w:r>
            <w:r>
              <w:rPr>
                <w:rFonts w:ascii="Arial" w:hAnsi="Arial" w:cs="Arial"/>
                <w:i/>
              </w:rPr>
              <w:t xml:space="preserve"> F</w:t>
            </w:r>
            <w:r w:rsidRPr="00CB2E27">
              <w:rPr>
                <w:rFonts w:ascii="Arial" w:hAnsi="Arial" w:cs="Arial"/>
                <w:i/>
              </w:rPr>
              <w:t>igure 2</w:t>
            </w:r>
            <w:r w:rsidRPr="00271024">
              <w:rPr>
                <w:rFonts w:ascii="Arial" w:hAnsi="Arial" w:cs="Arial"/>
              </w:rPr>
              <w:t>) and</w:t>
            </w:r>
            <w:r>
              <w:rPr>
                <w:rFonts w:ascii="Arial" w:hAnsi="Arial" w:cs="Arial"/>
              </w:rPr>
              <w:t xml:space="preserve"> inject alteplase into the </w:t>
            </w:r>
            <w:r w:rsidRPr="00271024">
              <w:rPr>
                <w:rFonts w:ascii="Arial" w:hAnsi="Arial" w:cs="Arial"/>
              </w:rPr>
              <w:t>pleural space</w:t>
            </w:r>
          </w:p>
        </w:tc>
      </w:tr>
      <w:tr w:rsidR="002872F8" w:rsidRPr="00271024" w14:paraId="4C06CCC3" w14:textId="77777777" w:rsidTr="00AF6606">
        <w:tc>
          <w:tcPr>
            <w:tcW w:w="534" w:type="dxa"/>
          </w:tcPr>
          <w:p w14:paraId="0FA73603" w14:textId="77777777" w:rsidR="002872F8" w:rsidRPr="00271024" w:rsidRDefault="002872F8" w:rsidP="00AF6606">
            <w:pPr>
              <w:contextualSpacing/>
              <w:jc w:val="center"/>
              <w:rPr>
                <w:rFonts w:ascii="Arial" w:hAnsi="Arial" w:cs="Arial"/>
              </w:rPr>
            </w:pPr>
            <w:r>
              <w:rPr>
                <w:rFonts w:ascii="Arial" w:hAnsi="Arial" w:cs="Arial"/>
              </w:rPr>
              <w:t>6</w:t>
            </w:r>
          </w:p>
        </w:tc>
        <w:tc>
          <w:tcPr>
            <w:tcW w:w="10148" w:type="dxa"/>
          </w:tcPr>
          <w:p w14:paraId="1CCFD44E" w14:textId="77777777" w:rsidR="002872F8" w:rsidRDefault="002872F8" w:rsidP="00AF6606">
            <w:pPr>
              <w:contextualSpacing/>
              <w:rPr>
                <w:rFonts w:ascii="Arial" w:hAnsi="Arial" w:cs="Arial"/>
              </w:rPr>
            </w:pPr>
            <w:r w:rsidRPr="00271024">
              <w:rPr>
                <w:rFonts w:ascii="Arial" w:hAnsi="Arial" w:cs="Arial"/>
              </w:rPr>
              <w:t xml:space="preserve">Turn 3-way tap off to the patient (i.e. open from the </w:t>
            </w:r>
            <w:r>
              <w:rPr>
                <w:rFonts w:ascii="Arial" w:hAnsi="Arial" w:cs="Arial"/>
              </w:rPr>
              <w:t>side</w:t>
            </w:r>
            <w:r w:rsidRPr="00271024">
              <w:rPr>
                <w:rFonts w:ascii="Arial" w:hAnsi="Arial" w:cs="Arial"/>
              </w:rPr>
              <w:t xml:space="preserve"> port through to underwater seal</w:t>
            </w:r>
            <w:r>
              <w:rPr>
                <w:rFonts w:ascii="Arial" w:hAnsi="Arial" w:cs="Arial"/>
              </w:rPr>
              <w:t xml:space="preserve"> - </w:t>
            </w:r>
            <w:r w:rsidRPr="00CB2E27">
              <w:rPr>
                <w:rFonts w:ascii="Arial" w:hAnsi="Arial" w:cs="Arial"/>
                <w:i/>
              </w:rPr>
              <w:t>Figure 3</w:t>
            </w:r>
            <w:r w:rsidRPr="00271024">
              <w:rPr>
                <w:rFonts w:ascii="Arial" w:hAnsi="Arial" w:cs="Arial"/>
              </w:rPr>
              <w:t>)</w:t>
            </w:r>
          </w:p>
          <w:p w14:paraId="6C106530" w14:textId="77777777" w:rsidR="002872F8" w:rsidRPr="00271024" w:rsidRDefault="002872F8" w:rsidP="00AF6606">
            <w:pPr>
              <w:contextualSpacing/>
              <w:rPr>
                <w:rFonts w:ascii="Arial" w:hAnsi="Arial" w:cs="Arial"/>
              </w:rPr>
            </w:pPr>
          </w:p>
        </w:tc>
      </w:tr>
      <w:tr w:rsidR="002872F8" w:rsidRPr="00271024" w14:paraId="5BC6B77C" w14:textId="77777777" w:rsidTr="00AF6606">
        <w:tc>
          <w:tcPr>
            <w:tcW w:w="534" w:type="dxa"/>
          </w:tcPr>
          <w:p w14:paraId="3BEA2517" w14:textId="77777777" w:rsidR="002872F8" w:rsidRDefault="002872F8" w:rsidP="00AF6606">
            <w:pPr>
              <w:contextualSpacing/>
              <w:jc w:val="center"/>
              <w:rPr>
                <w:rFonts w:ascii="Arial" w:hAnsi="Arial" w:cs="Arial"/>
              </w:rPr>
            </w:pPr>
            <w:r>
              <w:rPr>
                <w:rFonts w:ascii="Arial" w:hAnsi="Arial" w:cs="Arial"/>
              </w:rPr>
              <w:t>7</w:t>
            </w:r>
          </w:p>
        </w:tc>
        <w:tc>
          <w:tcPr>
            <w:tcW w:w="10148" w:type="dxa"/>
          </w:tcPr>
          <w:p w14:paraId="209DAB70" w14:textId="77777777" w:rsidR="002872F8" w:rsidRPr="00271024" w:rsidRDefault="002872F8" w:rsidP="00AF6606">
            <w:pPr>
              <w:contextualSpacing/>
              <w:rPr>
                <w:rFonts w:ascii="Arial" w:hAnsi="Arial" w:cs="Arial"/>
              </w:rPr>
            </w:pPr>
            <w:r>
              <w:rPr>
                <w:rFonts w:ascii="Arial" w:hAnsi="Arial" w:cs="Arial"/>
              </w:rPr>
              <w:t>Attach 10m</w:t>
            </w:r>
            <w:r w:rsidRPr="00271024">
              <w:rPr>
                <w:rFonts w:ascii="Arial" w:hAnsi="Arial" w:cs="Arial"/>
              </w:rPr>
              <w:t>l</w:t>
            </w:r>
            <w:r>
              <w:rPr>
                <w:rFonts w:ascii="Arial" w:hAnsi="Arial" w:cs="Arial"/>
              </w:rPr>
              <w:t xml:space="preserve"> syringe containing sodium chloride</w:t>
            </w:r>
            <w:r w:rsidRPr="00271024">
              <w:rPr>
                <w:rFonts w:ascii="Arial" w:hAnsi="Arial" w:cs="Arial"/>
              </w:rPr>
              <w:t xml:space="preserve"> 0.9%</w:t>
            </w:r>
            <w:r>
              <w:rPr>
                <w:rFonts w:ascii="Arial" w:hAnsi="Arial" w:cs="Arial"/>
              </w:rPr>
              <w:t xml:space="preserve"> flush to the side port.</w:t>
            </w:r>
            <w:r w:rsidRPr="00271024">
              <w:rPr>
                <w:rFonts w:ascii="Arial" w:hAnsi="Arial" w:cs="Arial"/>
              </w:rPr>
              <w:t xml:space="preserve"> Turn 3-way tap off to the underwater seal (i.e. open from pleural space to </w:t>
            </w:r>
            <w:r>
              <w:rPr>
                <w:rFonts w:ascii="Arial" w:hAnsi="Arial" w:cs="Arial"/>
              </w:rPr>
              <w:t>side</w:t>
            </w:r>
            <w:r w:rsidRPr="00271024">
              <w:rPr>
                <w:rFonts w:ascii="Arial" w:hAnsi="Arial" w:cs="Arial"/>
              </w:rPr>
              <w:t xml:space="preserve"> port </w:t>
            </w:r>
            <w:r>
              <w:rPr>
                <w:rFonts w:ascii="Arial" w:hAnsi="Arial" w:cs="Arial"/>
              </w:rPr>
              <w:t xml:space="preserve">- </w:t>
            </w:r>
            <w:r>
              <w:rPr>
                <w:rFonts w:ascii="Arial" w:hAnsi="Arial" w:cs="Arial"/>
                <w:i/>
              </w:rPr>
              <w:t>F</w:t>
            </w:r>
            <w:r w:rsidRPr="00CB2E27">
              <w:rPr>
                <w:rFonts w:ascii="Arial" w:hAnsi="Arial" w:cs="Arial"/>
                <w:i/>
              </w:rPr>
              <w:t>igure 2</w:t>
            </w:r>
            <w:r w:rsidRPr="00271024">
              <w:rPr>
                <w:rFonts w:ascii="Arial" w:hAnsi="Arial" w:cs="Arial"/>
              </w:rPr>
              <w:t xml:space="preserve">) and inject </w:t>
            </w:r>
            <w:r>
              <w:rPr>
                <w:rFonts w:ascii="Arial" w:hAnsi="Arial" w:cs="Arial"/>
              </w:rPr>
              <w:t xml:space="preserve">flush into the </w:t>
            </w:r>
            <w:r w:rsidRPr="00271024">
              <w:rPr>
                <w:rFonts w:ascii="Arial" w:hAnsi="Arial" w:cs="Arial"/>
              </w:rPr>
              <w:t>pleural space</w:t>
            </w:r>
            <w:r>
              <w:rPr>
                <w:rFonts w:ascii="Arial" w:hAnsi="Arial" w:cs="Arial"/>
              </w:rPr>
              <w:t>.</w:t>
            </w:r>
          </w:p>
        </w:tc>
      </w:tr>
      <w:tr w:rsidR="002872F8" w:rsidRPr="00271024" w14:paraId="29A7C36A" w14:textId="77777777" w:rsidTr="00AF6606">
        <w:tc>
          <w:tcPr>
            <w:tcW w:w="534" w:type="dxa"/>
          </w:tcPr>
          <w:p w14:paraId="7179FB0B" w14:textId="77777777" w:rsidR="002872F8" w:rsidRPr="00271024" w:rsidRDefault="002872F8" w:rsidP="00AF6606">
            <w:pPr>
              <w:contextualSpacing/>
              <w:jc w:val="center"/>
              <w:rPr>
                <w:rFonts w:ascii="Arial" w:hAnsi="Arial" w:cs="Arial"/>
              </w:rPr>
            </w:pPr>
            <w:r>
              <w:rPr>
                <w:rFonts w:ascii="Arial" w:hAnsi="Arial" w:cs="Arial"/>
              </w:rPr>
              <w:t>8</w:t>
            </w:r>
          </w:p>
        </w:tc>
        <w:tc>
          <w:tcPr>
            <w:tcW w:w="10148" w:type="dxa"/>
          </w:tcPr>
          <w:p w14:paraId="6FA0BD85" w14:textId="77777777" w:rsidR="002872F8" w:rsidRDefault="002872F8" w:rsidP="00AF6606">
            <w:pPr>
              <w:contextualSpacing/>
              <w:rPr>
                <w:rFonts w:ascii="Arial" w:hAnsi="Arial" w:cs="Arial"/>
              </w:rPr>
            </w:pPr>
            <w:r w:rsidRPr="00271024">
              <w:rPr>
                <w:rFonts w:ascii="Arial" w:hAnsi="Arial" w:cs="Arial"/>
              </w:rPr>
              <w:t xml:space="preserve">Turn 3-way tap off to the patient (i.e. open from the </w:t>
            </w:r>
            <w:r>
              <w:rPr>
                <w:rFonts w:ascii="Arial" w:hAnsi="Arial" w:cs="Arial"/>
              </w:rPr>
              <w:t>side</w:t>
            </w:r>
            <w:r w:rsidRPr="00271024">
              <w:rPr>
                <w:rFonts w:ascii="Arial" w:hAnsi="Arial" w:cs="Arial"/>
              </w:rPr>
              <w:t xml:space="preserve"> port through to underwater seal</w:t>
            </w:r>
            <w:r>
              <w:rPr>
                <w:rFonts w:ascii="Arial" w:hAnsi="Arial" w:cs="Arial"/>
              </w:rPr>
              <w:t xml:space="preserve"> - </w:t>
            </w:r>
            <w:r w:rsidRPr="00CB2E27">
              <w:rPr>
                <w:rFonts w:ascii="Arial" w:hAnsi="Arial" w:cs="Arial"/>
                <w:i/>
              </w:rPr>
              <w:t>Figure 3</w:t>
            </w:r>
            <w:r w:rsidRPr="00271024">
              <w:rPr>
                <w:rFonts w:ascii="Arial" w:hAnsi="Arial" w:cs="Arial"/>
              </w:rPr>
              <w:t>)</w:t>
            </w:r>
          </w:p>
          <w:p w14:paraId="04938025" w14:textId="77777777" w:rsidR="002872F8" w:rsidRPr="00271024" w:rsidDel="00920928" w:rsidRDefault="002872F8" w:rsidP="00AF6606">
            <w:pPr>
              <w:contextualSpacing/>
              <w:rPr>
                <w:rFonts w:ascii="Arial" w:hAnsi="Arial" w:cs="Arial"/>
              </w:rPr>
            </w:pPr>
          </w:p>
        </w:tc>
      </w:tr>
      <w:tr w:rsidR="002872F8" w:rsidRPr="00271024" w14:paraId="592F5A5B" w14:textId="77777777" w:rsidTr="00AF6606">
        <w:tc>
          <w:tcPr>
            <w:tcW w:w="534" w:type="dxa"/>
          </w:tcPr>
          <w:p w14:paraId="24008749" w14:textId="77777777" w:rsidR="002872F8" w:rsidRPr="00271024" w:rsidRDefault="002872F8" w:rsidP="00AF6606">
            <w:pPr>
              <w:contextualSpacing/>
              <w:jc w:val="center"/>
              <w:rPr>
                <w:rFonts w:ascii="Arial" w:hAnsi="Arial" w:cs="Arial"/>
              </w:rPr>
            </w:pPr>
            <w:r>
              <w:rPr>
                <w:rFonts w:ascii="Arial" w:hAnsi="Arial" w:cs="Arial"/>
              </w:rPr>
              <w:t>9</w:t>
            </w:r>
          </w:p>
        </w:tc>
        <w:tc>
          <w:tcPr>
            <w:tcW w:w="10148" w:type="dxa"/>
          </w:tcPr>
          <w:p w14:paraId="4352C3D3" w14:textId="77777777" w:rsidR="002872F8" w:rsidRPr="00271024" w:rsidRDefault="002872F8" w:rsidP="00AF6606">
            <w:pPr>
              <w:contextualSpacing/>
              <w:rPr>
                <w:rFonts w:ascii="Arial" w:hAnsi="Arial" w:cs="Arial"/>
              </w:rPr>
            </w:pPr>
            <w:r w:rsidRPr="00271024">
              <w:rPr>
                <w:rFonts w:ascii="Arial" w:hAnsi="Arial" w:cs="Arial"/>
              </w:rPr>
              <w:t xml:space="preserve">Attach second </w:t>
            </w:r>
            <w:r>
              <w:rPr>
                <w:rFonts w:ascii="Arial" w:hAnsi="Arial" w:cs="Arial"/>
              </w:rPr>
              <w:t>3</w:t>
            </w:r>
            <w:r w:rsidRPr="00271024">
              <w:rPr>
                <w:rFonts w:ascii="Arial" w:hAnsi="Arial" w:cs="Arial"/>
              </w:rPr>
              <w:t xml:space="preserve">0ml syringe containing dornase alfa to </w:t>
            </w:r>
            <w:r>
              <w:rPr>
                <w:rFonts w:ascii="Arial" w:hAnsi="Arial" w:cs="Arial"/>
              </w:rPr>
              <w:t>side</w:t>
            </w:r>
            <w:r w:rsidRPr="00271024">
              <w:rPr>
                <w:rFonts w:ascii="Arial" w:hAnsi="Arial" w:cs="Arial"/>
              </w:rPr>
              <w:t xml:space="preserve"> port. Turn 3-way tap off to the underwater seal (i.e. open from pleural space to </w:t>
            </w:r>
            <w:r>
              <w:rPr>
                <w:rFonts w:ascii="Arial" w:hAnsi="Arial" w:cs="Arial"/>
              </w:rPr>
              <w:t>side</w:t>
            </w:r>
            <w:r w:rsidRPr="00271024">
              <w:rPr>
                <w:rFonts w:ascii="Arial" w:hAnsi="Arial" w:cs="Arial"/>
              </w:rPr>
              <w:t xml:space="preserve"> </w:t>
            </w:r>
            <w:r>
              <w:rPr>
                <w:rFonts w:ascii="Arial" w:hAnsi="Arial" w:cs="Arial"/>
              </w:rPr>
              <w:t xml:space="preserve">port - </w:t>
            </w:r>
            <w:r w:rsidRPr="003A67B4">
              <w:rPr>
                <w:rFonts w:ascii="Arial" w:hAnsi="Arial" w:cs="Arial"/>
                <w:i/>
              </w:rPr>
              <w:t>Figure 2</w:t>
            </w:r>
            <w:r w:rsidRPr="00271024">
              <w:rPr>
                <w:rFonts w:ascii="Arial" w:hAnsi="Arial" w:cs="Arial"/>
              </w:rPr>
              <w:t>) and inject dornase alfa into the pleural space</w:t>
            </w:r>
          </w:p>
        </w:tc>
      </w:tr>
      <w:tr w:rsidR="002872F8" w:rsidRPr="00271024" w14:paraId="38C9E312" w14:textId="77777777" w:rsidTr="00AF6606">
        <w:tc>
          <w:tcPr>
            <w:tcW w:w="534" w:type="dxa"/>
          </w:tcPr>
          <w:p w14:paraId="08AA33B2" w14:textId="77777777" w:rsidR="002872F8" w:rsidRPr="00271024" w:rsidRDefault="002872F8" w:rsidP="00AF6606">
            <w:pPr>
              <w:contextualSpacing/>
              <w:jc w:val="center"/>
              <w:rPr>
                <w:rFonts w:ascii="Arial" w:hAnsi="Arial" w:cs="Arial"/>
              </w:rPr>
            </w:pPr>
            <w:r>
              <w:rPr>
                <w:rFonts w:ascii="Arial" w:hAnsi="Arial" w:cs="Arial"/>
              </w:rPr>
              <w:t>10</w:t>
            </w:r>
          </w:p>
        </w:tc>
        <w:tc>
          <w:tcPr>
            <w:tcW w:w="10148" w:type="dxa"/>
          </w:tcPr>
          <w:p w14:paraId="048DF6F4" w14:textId="77777777" w:rsidR="002872F8" w:rsidRDefault="002872F8" w:rsidP="00AF6606">
            <w:pPr>
              <w:contextualSpacing/>
              <w:rPr>
                <w:rFonts w:ascii="Arial" w:hAnsi="Arial" w:cs="Arial"/>
              </w:rPr>
            </w:pPr>
            <w:r w:rsidRPr="00271024">
              <w:rPr>
                <w:rFonts w:ascii="Arial" w:hAnsi="Arial" w:cs="Arial"/>
              </w:rPr>
              <w:t xml:space="preserve">Turn 3-way tap off to the patient (i.e. open from the </w:t>
            </w:r>
            <w:r>
              <w:rPr>
                <w:rFonts w:ascii="Arial" w:hAnsi="Arial" w:cs="Arial"/>
              </w:rPr>
              <w:t>side</w:t>
            </w:r>
            <w:r w:rsidRPr="00271024">
              <w:rPr>
                <w:rFonts w:ascii="Arial" w:hAnsi="Arial" w:cs="Arial"/>
              </w:rPr>
              <w:t xml:space="preserve"> port through to underwater seal</w:t>
            </w:r>
            <w:r>
              <w:rPr>
                <w:rFonts w:ascii="Arial" w:hAnsi="Arial" w:cs="Arial"/>
              </w:rPr>
              <w:t xml:space="preserve"> - </w:t>
            </w:r>
            <w:r w:rsidRPr="00CB2E27">
              <w:rPr>
                <w:rFonts w:ascii="Arial" w:hAnsi="Arial" w:cs="Arial"/>
                <w:i/>
              </w:rPr>
              <w:t>Figure 3</w:t>
            </w:r>
            <w:r w:rsidRPr="00271024">
              <w:rPr>
                <w:rFonts w:ascii="Arial" w:hAnsi="Arial" w:cs="Arial"/>
              </w:rPr>
              <w:t>)</w:t>
            </w:r>
          </w:p>
          <w:p w14:paraId="5547A676" w14:textId="77777777" w:rsidR="002872F8" w:rsidRPr="00271024" w:rsidRDefault="002872F8" w:rsidP="00AF6606">
            <w:pPr>
              <w:contextualSpacing/>
              <w:rPr>
                <w:rFonts w:ascii="Arial" w:hAnsi="Arial" w:cs="Arial"/>
              </w:rPr>
            </w:pPr>
          </w:p>
        </w:tc>
      </w:tr>
      <w:tr w:rsidR="002872F8" w:rsidRPr="00271024" w14:paraId="353A8698" w14:textId="77777777" w:rsidTr="00AF6606">
        <w:tc>
          <w:tcPr>
            <w:tcW w:w="534" w:type="dxa"/>
          </w:tcPr>
          <w:p w14:paraId="3418FA17" w14:textId="77777777" w:rsidR="002872F8" w:rsidRDefault="002872F8" w:rsidP="00AF6606">
            <w:pPr>
              <w:contextualSpacing/>
              <w:jc w:val="center"/>
              <w:rPr>
                <w:rFonts w:ascii="Arial" w:hAnsi="Arial" w:cs="Arial"/>
              </w:rPr>
            </w:pPr>
            <w:r>
              <w:rPr>
                <w:rFonts w:ascii="Arial" w:hAnsi="Arial" w:cs="Arial"/>
              </w:rPr>
              <w:t>11</w:t>
            </w:r>
          </w:p>
        </w:tc>
        <w:tc>
          <w:tcPr>
            <w:tcW w:w="10148" w:type="dxa"/>
          </w:tcPr>
          <w:p w14:paraId="3D3F01F2" w14:textId="77777777" w:rsidR="002872F8" w:rsidRPr="00271024" w:rsidRDefault="002872F8" w:rsidP="00AF6606">
            <w:pPr>
              <w:contextualSpacing/>
              <w:rPr>
                <w:rFonts w:ascii="Arial" w:hAnsi="Arial" w:cs="Arial"/>
              </w:rPr>
            </w:pPr>
            <w:r>
              <w:rPr>
                <w:rFonts w:ascii="Arial" w:hAnsi="Arial" w:cs="Arial"/>
              </w:rPr>
              <w:t>Attach 10m</w:t>
            </w:r>
            <w:r w:rsidRPr="00271024">
              <w:rPr>
                <w:rFonts w:ascii="Arial" w:hAnsi="Arial" w:cs="Arial"/>
              </w:rPr>
              <w:t>l</w:t>
            </w:r>
            <w:r>
              <w:rPr>
                <w:rFonts w:ascii="Arial" w:hAnsi="Arial" w:cs="Arial"/>
              </w:rPr>
              <w:t xml:space="preserve"> syringe containing sodium chloride</w:t>
            </w:r>
            <w:r w:rsidRPr="00271024">
              <w:rPr>
                <w:rFonts w:ascii="Arial" w:hAnsi="Arial" w:cs="Arial"/>
              </w:rPr>
              <w:t xml:space="preserve"> 0.9%</w:t>
            </w:r>
            <w:r>
              <w:rPr>
                <w:rFonts w:ascii="Arial" w:hAnsi="Arial" w:cs="Arial"/>
              </w:rPr>
              <w:t xml:space="preserve"> flush.</w:t>
            </w:r>
            <w:r w:rsidRPr="00271024">
              <w:rPr>
                <w:rFonts w:ascii="Arial" w:hAnsi="Arial" w:cs="Arial"/>
              </w:rPr>
              <w:t xml:space="preserve"> Turn 3-way tap off to the underwater seal (i.e. open from pleural space to </w:t>
            </w:r>
            <w:r>
              <w:rPr>
                <w:rFonts w:ascii="Arial" w:hAnsi="Arial" w:cs="Arial"/>
              </w:rPr>
              <w:t>side</w:t>
            </w:r>
            <w:r w:rsidRPr="00271024">
              <w:rPr>
                <w:rFonts w:ascii="Arial" w:hAnsi="Arial" w:cs="Arial"/>
              </w:rPr>
              <w:t xml:space="preserve"> port</w:t>
            </w:r>
            <w:r>
              <w:rPr>
                <w:rFonts w:ascii="Arial" w:hAnsi="Arial" w:cs="Arial"/>
              </w:rPr>
              <w:t xml:space="preserve"> -</w:t>
            </w:r>
            <w:r>
              <w:rPr>
                <w:rFonts w:ascii="Arial" w:hAnsi="Arial" w:cs="Arial"/>
                <w:i/>
              </w:rPr>
              <w:t xml:space="preserve"> F</w:t>
            </w:r>
            <w:r w:rsidRPr="00CB2E27">
              <w:rPr>
                <w:rFonts w:ascii="Arial" w:hAnsi="Arial" w:cs="Arial"/>
                <w:i/>
              </w:rPr>
              <w:t>igure 2</w:t>
            </w:r>
            <w:r w:rsidRPr="00271024">
              <w:rPr>
                <w:rFonts w:ascii="Arial" w:hAnsi="Arial" w:cs="Arial"/>
              </w:rPr>
              <w:t xml:space="preserve">) and inject </w:t>
            </w:r>
            <w:r>
              <w:rPr>
                <w:rFonts w:ascii="Arial" w:hAnsi="Arial" w:cs="Arial"/>
              </w:rPr>
              <w:t xml:space="preserve">flush into the </w:t>
            </w:r>
            <w:r w:rsidRPr="00271024">
              <w:rPr>
                <w:rFonts w:ascii="Arial" w:hAnsi="Arial" w:cs="Arial"/>
              </w:rPr>
              <w:t>pleural space</w:t>
            </w:r>
            <w:r>
              <w:rPr>
                <w:rFonts w:ascii="Arial" w:hAnsi="Arial" w:cs="Arial"/>
              </w:rPr>
              <w:t>.</w:t>
            </w:r>
          </w:p>
        </w:tc>
      </w:tr>
      <w:tr w:rsidR="002872F8" w:rsidRPr="00271024" w14:paraId="5264E968" w14:textId="77777777" w:rsidTr="00AF6606">
        <w:tc>
          <w:tcPr>
            <w:tcW w:w="534" w:type="dxa"/>
          </w:tcPr>
          <w:p w14:paraId="214A3B5B" w14:textId="77777777" w:rsidR="002872F8" w:rsidRPr="00271024" w:rsidRDefault="002872F8" w:rsidP="00AF6606">
            <w:pPr>
              <w:contextualSpacing/>
              <w:jc w:val="center"/>
              <w:rPr>
                <w:rFonts w:ascii="Arial" w:hAnsi="Arial" w:cs="Arial"/>
              </w:rPr>
            </w:pPr>
            <w:r>
              <w:rPr>
                <w:rFonts w:ascii="Arial" w:hAnsi="Arial" w:cs="Arial"/>
              </w:rPr>
              <w:t>12</w:t>
            </w:r>
          </w:p>
        </w:tc>
        <w:tc>
          <w:tcPr>
            <w:tcW w:w="10148" w:type="dxa"/>
          </w:tcPr>
          <w:p w14:paraId="37D3C622" w14:textId="77777777" w:rsidR="002872F8" w:rsidRPr="00271024" w:rsidRDefault="002872F8" w:rsidP="00AF6606">
            <w:pPr>
              <w:contextualSpacing/>
              <w:rPr>
                <w:rFonts w:ascii="Arial" w:hAnsi="Arial" w:cs="Arial"/>
              </w:rPr>
            </w:pPr>
            <w:r w:rsidRPr="00271024">
              <w:rPr>
                <w:rFonts w:ascii="Arial" w:hAnsi="Arial" w:cs="Arial"/>
              </w:rPr>
              <w:t xml:space="preserve">Turn 3-way tap off to the patient (i.e. open from the </w:t>
            </w:r>
            <w:r>
              <w:rPr>
                <w:rFonts w:ascii="Arial" w:hAnsi="Arial" w:cs="Arial"/>
              </w:rPr>
              <w:t>side</w:t>
            </w:r>
            <w:r w:rsidRPr="00271024">
              <w:rPr>
                <w:rFonts w:ascii="Arial" w:hAnsi="Arial" w:cs="Arial"/>
              </w:rPr>
              <w:t xml:space="preserve"> port through to underwater seal</w:t>
            </w:r>
            <w:r>
              <w:rPr>
                <w:rFonts w:ascii="Arial" w:hAnsi="Arial" w:cs="Arial"/>
              </w:rPr>
              <w:t xml:space="preserve"> - </w:t>
            </w:r>
            <w:r w:rsidRPr="003A67B4">
              <w:rPr>
                <w:rFonts w:ascii="Arial" w:hAnsi="Arial" w:cs="Arial"/>
                <w:i/>
              </w:rPr>
              <w:t>Figure 3</w:t>
            </w:r>
            <w:r w:rsidRPr="00271024">
              <w:rPr>
                <w:rFonts w:ascii="Arial" w:hAnsi="Arial" w:cs="Arial"/>
              </w:rPr>
              <w:t xml:space="preserve">) and </w:t>
            </w:r>
            <w:r>
              <w:rPr>
                <w:rFonts w:ascii="Arial" w:hAnsi="Arial" w:cs="Arial"/>
              </w:rPr>
              <w:t xml:space="preserve">leave </w:t>
            </w:r>
            <w:r w:rsidRPr="00271024">
              <w:rPr>
                <w:rFonts w:ascii="Arial" w:hAnsi="Arial" w:cs="Arial"/>
              </w:rPr>
              <w:t xml:space="preserve">in this position for </w:t>
            </w:r>
            <w:r>
              <w:rPr>
                <w:rFonts w:ascii="Arial" w:hAnsi="Arial" w:cs="Arial"/>
              </w:rPr>
              <w:t>60</w:t>
            </w:r>
            <w:r w:rsidRPr="00271024">
              <w:rPr>
                <w:rFonts w:ascii="Arial" w:hAnsi="Arial" w:cs="Arial"/>
              </w:rPr>
              <w:t xml:space="preserve"> minutes – the chest drain is effectively ‘clamped’</w:t>
            </w:r>
          </w:p>
        </w:tc>
      </w:tr>
      <w:tr w:rsidR="002872F8" w:rsidRPr="00271024" w14:paraId="6B596D7F" w14:textId="77777777" w:rsidTr="00AF6606">
        <w:tc>
          <w:tcPr>
            <w:tcW w:w="534" w:type="dxa"/>
          </w:tcPr>
          <w:p w14:paraId="045B1992" w14:textId="77777777" w:rsidR="002872F8" w:rsidRDefault="002872F8" w:rsidP="00AF6606">
            <w:pPr>
              <w:contextualSpacing/>
              <w:jc w:val="center"/>
              <w:rPr>
                <w:rFonts w:ascii="Arial" w:hAnsi="Arial" w:cs="Arial"/>
              </w:rPr>
            </w:pPr>
            <w:r>
              <w:rPr>
                <w:rFonts w:ascii="Arial" w:hAnsi="Arial" w:cs="Arial"/>
              </w:rPr>
              <w:t>13</w:t>
            </w:r>
          </w:p>
        </w:tc>
        <w:tc>
          <w:tcPr>
            <w:tcW w:w="10148" w:type="dxa"/>
          </w:tcPr>
          <w:p w14:paraId="35F0A0E6" w14:textId="77777777" w:rsidR="002872F8" w:rsidRPr="00271024" w:rsidRDefault="002872F8" w:rsidP="00AF6606">
            <w:pPr>
              <w:contextualSpacing/>
              <w:rPr>
                <w:rFonts w:ascii="Arial" w:hAnsi="Arial" w:cs="Arial"/>
              </w:rPr>
            </w:pPr>
            <w:r>
              <w:rPr>
                <w:rFonts w:ascii="Arial" w:hAnsi="Arial" w:cs="Arial"/>
              </w:rPr>
              <w:t>Sign off medications as administered on EPR.</w:t>
            </w:r>
          </w:p>
        </w:tc>
      </w:tr>
      <w:tr w:rsidR="002872F8" w:rsidRPr="00271024" w14:paraId="5647CFC5" w14:textId="77777777" w:rsidTr="00AF6606">
        <w:tc>
          <w:tcPr>
            <w:tcW w:w="534" w:type="dxa"/>
          </w:tcPr>
          <w:p w14:paraId="60CA8816" w14:textId="77777777" w:rsidR="002872F8" w:rsidRDefault="002872F8" w:rsidP="00AF6606">
            <w:pPr>
              <w:contextualSpacing/>
              <w:jc w:val="center"/>
              <w:rPr>
                <w:rFonts w:ascii="Arial" w:hAnsi="Arial" w:cs="Arial"/>
              </w:rPr>
            </w:pPr>
            <w:r>
              <w:rPr>
                <w:rFonts w:ascii="Arial" w:hAnsi="Arial" w:cs="Arial"/>
              </w:rPr>
              <w:t>14</w:t>
            </w:r>
          </w:p>
        </w:tc>
        <w:tc>
          <w:tcPr>
            <w:tcW w:w="10148" w:type="dxa"/>
          </w:tcPr>
          <w:p w14:paraId="54D3A402" w14:textId="77777777" w:rsidR="002872F8" w:rsidRPr="00271024" w:rsidRDefault="002872F8" w:rsidP="00AF6606">
            <w:pPr>
              <w:contextualSpacing/>
              <w:rPr>
                <w:rFonts w:ascii="Arial" w:hAnsi="Arial" w:cs="Arial"/>
              </w:rPr>
            </w:pPr>
            <w:r>
              <w:rPr>
                <w:rFonts w:ascii="Arial" w:hAnsi="Arial" w:cs="Arial"/>
              </w:rPr>
              <w:t>After 60 minutes o</w:t>
            </w:r>
            <w:r w:rsidRPr="00271024">
              <w:rPr>
                <w:rFonts w:ascii="Arial" w:hAnsi="Arial" w:cs="Arial"/>
              </w:rPr>
              <w:t>pen the 3-way tap (i.e. open from pleural space through to underwater seal</w:t>
            </w:r>
            <w:r>
              <w:rPr>
                <w:rFonts w:ascii="Arial" w:hAnsi="Arial" w:cs="Arial"/>
              </w:rPr>
              <w:t xml:space="preserve"> - </w:t>
            </w:r>
            <w:r w:rsidRPr="003A67B4">
              <w:rPr>
                <w:rFonts w:ascii="Arial" w:hAnsi="Arial" w:cs="Arial"/>
                <w:i/>
              </w:rPr>
              <w:t>Figure 1</w:t>
            </w:r>
            <w:r w:rsidRPr="00271024">
              <w:rPr>
                <w:rFonts w:ascii="Arial" w:hAnsi="Arial" w:cs="Arial"/>
              </w:rPr>
              <w:t xml:space="preserve">) and leave on free drainage </w:t>
            </w:r>
            <w:r>
              <w:rPr>
                <w:rFonts w:ascii="Arial" w:hAnsi="Arial" w:cs="Arial"/>
              </w:rPr>
              <w:t>– communicate timings for this to nursing staff and record on EPR</w:t>
            </w:r>
          </w:p>
        </w:tc>
      </w:tr>
    </w:tbl>
    <w:p w14:paraId="1BFA99C0" w14:textId="77777777" w:rsidR="002872F8" w:rsidRDefault="002872F8" w:rsidP="002872F8">
      <w:pPr>
        <w:rPr>
          <w:rFonts w:ascii="Arial" w:hAnsi="Arial" w:cs="Arial"/>
          <w:b/>
        </w:rPr>
      </w:pPr>
    </w:p>
    <w:p w14:paraId="77E924C7" w14:textId="77777777" w:rsidR="002872F8" w:rsidRPr="00D06430" w:rsidRDefault="002872F8" w:rsidP="002872F8">
      <w:pPr>
        <w:rPr>
          <w:rFonts w:ascii="Arial" w:hAnsi="Arial" w:cs="Arial"/>
          <w:b/>
        </w:rPr>
      </w:pPr>
      <w:r>
        <w:rPr>
          <w:rFonts w:ascii="Arial" w:hAnsi="Arial" w:cs="Arial"/>
          <w:b/>
        </w:rPr>
        <w:t>Mo</w:t>
      </w:r>
      <w:r w:rsidRPr="00271024">
        <w:rPr>
          <w:rFonts w:ascii="Arial" w:hAnsi="Arial" w:cs="Arial"/>
          <w:b/>
        </w:rPr>
        <w:t>nitoring</w:t>
      </w:r>
    </w:p>
    <w:p w14:paraId="4634D1D1" w14:textId="77777777" w:rsidR="002872F8" w:rsidRPr="00271024" w:rsidRDefault="002872F8" w:rsidP="002872F8">
      <w:pPr>
        <w:spacing w:after="0"/>
        <w:contextualSpacing/>
        <w:rPr>
          <w:rFonts w:ascii="Arial" w:hAnsi="Arial" w:cs="Arial"/>
        </w:rPr>
      </w:pPr>
      <w:r w:rsidRPr="00271024">
        <w:rPr>
          <w:rFonts w:ascii="Arial" w:hAnsi="Arial" w:cs="Arial"/>
        </w:rPr>
        <w:t xml:space="preserve">The patient must be reviewed </w:t>
      </w:r>
      <w:r>
        <w:rPr>
          <w:rFonts w:ascii="Arial" w:hAnsi="Arial" w:cs="Arial"/>
        </w:rPr>
        <w:t xml:space="preserve">daily </w:t>
      </w:r>
      <w:r w:rsidRPr="00271024">
        <w:rPr>
          <w:rFonts w:ascii="Arial" w:hAnsi="Arial" w:cs="Arial"/>
        </w:rPr>
        <w:t xml:space="preserve">by a </w:t>
      </w:r>
      <w:r>
        <w:rPr>
          <w:rFonts w:ascii="Arial" w:hAnsi="Arial" w:cs="Arial"/>
        </w:rPr>
        <w:t>R</w:t>
      </w:r>
      <w:r w:rsidRPr="00271024">
        <w:rPr>
          <w:rFonts w:ascii="Arial" w:hAnsi="Arial" w:cs="Arial"/>
        </w:rPr>
        <w:t xml:space="preserve">espiratory </w:t>
      </w:r>
      <w:r>
        <w:rPr>
          <w:rFonts w:ascii="Arial" w:hAnsi="Arial" w:cs="Arial"/>
        </w:rPr>
        <w:t>C</w:t>
      </w:r>
      <w:r w:rsidRPr="00271024">
        <w:rPr>
          <w:rFonts w:ascii="Arial" w:hAnsi="Arial" w:cs="Arial"/>
        </w:rPr>
        <w:t xml:space="preserve">onsultant or </w:t>
      </w:r>
      <w:r>
        <w:rPr>
          <w:rFonts w:ascii="Arial" w:hAnsi="Arial" w:cs="Arial"/>
        </w:rPr>
        <w:t>R</w:t>
      </w:r>
      <w:r w:rsidRPr="00271024">
        <w:rPr>
          <w:rFonts w:ascii="Arial" w:hAnsi="Arial" w:cs="Arial"/>
        </w:rPr>
        <w:t xml:space="preserve">egistrar. This review will generally include assessment of infection, bleeding and any potential drug reaction, as per the table below. This will ensure that on-going drug delivery is safe, </w:t>
      </w:r>
      <w:proofErr w:type="gramStart"/>
      <w:r w:rsidRPr="00271024">
        <w:rPr>
          <w:rFonts w:ascii="Arial" w:hAnsi="Arial" w:cs="Arial"/>
        </w:rPr>
        <w:t>and also</w:t>
      </w:r>
      <w:proofErr w:type="gramEnd"/>
      <w:r w:rsidRPr="00271024">
        <w:rPr>
          <w:rFonts w:ascii="Arial" w:hAnsi="Arial" w:cs="Arial"/>
        </w:rPr>
        <w:t xml:space="preserve"> whether this is necessary (not all patient</w:t>
      </w:r>
      <w:r>
        <w:rPr>
          <w:rFonts w:ascii="Arial" w:hAnsi="Arial" w:cs="Arial"/>
        </w:rPr>
        <w:t>s</w:t>
      </w:r>
      <w:r w:rsidRPr="00271024">
        <w:rPr>
          <w:rFonts w:ascii="Arial" w:hAnsi="Arial" w:cs="Arial"/>
        </w:rPr>
        <w:t xml:space="preserve"> will require all 6 doses).</w:t>
      </w:r>
    </w:p>
    <w:p w14:paraId="73620B93" w14:textId="77777777" w:rsidR="002872F8" w:rsidRDefault="002872F8" w:rsidP="002872F8">
      <w:pPr>
        <w:spacing w:after="0"/>
        <w:contextualSpacing/>
        <w:rPr>
          <w:rFonts w:ascii="Arial" w:hAnsi="Arial" w:cs="Arial"/>
        </w:rPr>
      </w:pPr>
    </w:p>
    <w:p w14:paraId="73DA258C" w14:textId="77777777" w:rsidR="002872F8" w:rsidRPr="00271024" w:rsidRDefault="002872F8" w:rsidP="002872F8">
      <w:pPr>
        <w:spacing w:after="0"/>
        <w:contextualSpacing/>
        <w:rPr>
          <w:rFonts w:ascii="Arial" w:hAnsi="Arial" w:cs="Arial"/>
          <w:b/>
        </w:rPr>
      </w:pPr>
    </w:p>
    <w:p w14:paraId="12DF7355" w14:textId="6A045384" w:rsidR="002872F8" w:rsidRPr="00271024" w:rsidRDefault="002872F8" w:rsidP="002872F8">
      <w:pPr>
        <w:spacing w:after="0"/>
        <w:contextualSpacing/>
        <w:rPr>
          <w:rFonts w:ascii="Arial" w:hAnsi="Arial" w:cs="Arial"/>
          <w:b/>
        </w:rPr>
      </w:pPr>
      <w:r w:rsidRPr="00271024">
        <w:rPr>
          <w:rFonts w:ascii="Arial" w:hAnsi="Arial" w:cs="Arial"/>
          <w:b/>
        </w:rPr>
        <w:t>9) R</w:t>
      </w:r>
      <w:r w:rsidR="004D4D25">
        <w:rPr>
          <w:rFonts w:ascii="Arial" w:hAnsi="Arial" w:cs="Arial"/>
          <w:b/>
        </w:rPr>
        <w:t>eferences</w:t>
      </w:r>
    </w:p>
    <w:p w14:paraId="215846F1" w14:textId="77777777" w:rsidR="002872F8" w:rsidRPr="00271024" w:rsidRDefault="002872F8" w:rsidP="002872F8">
      <w:pPr>
        <w:pStyle w:val="BodyText"/>
        <w:spacing w:before="100" w:beforeAutospacing="1" w:after="100" w:afterAutospacing="1" w:line="276" w:lineRule="auto"/>
        <w:contextualSpacing/>
        <w:rPr>
          <w:rFonts w:cs="Arial"/>
          <w:sz w:val="22"/>
          <w:szCs w:val="22"/>
        </w:rPr>
      </w:pPr>
      <w:r w:rsidRPr="00271024">
        <w:rPr>
          <w:rFonts w:cs="Arial"/>
          <w:sz w:val="22"/>
          <w:szCs w:val="22"/>
        </w:rPr>
        <w:t xml:space="preserve">Rahman NM, Maskell N, West A, </w:t>
      </w:r>
      <w:r w:rsidRPr="00271024">
        <w:rPr>
          <w:rFonts w:cs="Arial"/>
          <w:i/>
          <w:sz w:val="22"/>
          <w:szCs w:val="22"/>
        </w:rPr>
        <w:t>et al</w:t>
      </w:r>
      <w:r w:rsidRPr="00271024">
        <w:rPr>
          <w:rFonts w:cs="Arial"/>
          <w:sz w:val="22"/>
          <w:szCs w:val="22"/>
        </w:rPr>
        <w:t xml:space="preserve">.  Intrapleural use of tissue plasminogen activator and DNase in pleural infection.  </w:t>
      </w:r>
      <w:r w:rsidRPr="00271024">
        <w:rPr>
          <w:rFonts w:cs="Arial"/>
          <w:i/>
          <w:sz w:val="22"/>
          <w:szCs w:val="22"/>
        </w:rPr>
        <w:t>N Engl J Med</w:t>
      </w:r>
      <w:r w:rsidRPr="00271024">
        <w:rPr>
          <w:rFonts w:cs="Arial"/>
          <w:sz w:val="22"/>
          <w:szCs w:val="22"/>
        </w:rPr>
        <w:t xml:space="preserve"> 2011; 365:518-26</w:t>
      </w:r>
    </w:p>
    <w:p w14:paraId="52A654D4" w14:textId="77777777" w:rsidR="002872F8" w:rsidRDefault="002872F8" w:rsidP="002872F8">
      <w:pPr>
        <w:spacing w:after="0"/>
        <w:contextualSpacing/>
        <w:rPr>
          <w:rFonts w:ascii="Arial" w:hAnsi="Arial" w:cs="Arial"/>
        </w:rPr>
      </w:pPr>
      <w:r w:rsidRPr="00271024">
        <w:rPr>
          <w:rStyle w:val="nlmstring-name"/>
          <w:rFonts w:ascii="Arial" w:hAnsi="Arial" w:cs="Arial"/>
        </w:rPr>
        <w:t xml:space="preserve">Piccolo F, Pitman N, Bhatnagar R, </w:t>
      </w:r>
      <w:r w:rsidRPr="00271024">
        <w:rPr>
          <w:rStyle w:val="nlmstring-name"/>
          <w:rFonts w:ascii="Arial" w:hAnsi="Arial" w:cs="Arial"/>
          <w:i/>
        </w:rPr>
        <w:t>et al</w:t>
      </w:r>
      <w:r w:rsidRPr="00271024">
        <w:rPr>
          <w:rStyle w:val="nlmstring-name"/>
          <w:rFonts w:ascii="Arial" w:hAnsi="Arial" w:cs="Arial"/>
        </w:rPr>
        <w:t xml:space="preserve">. </w:t>
      </w:r>
      <w:r w:rsidRPr="00271024">
        <w:rPr>
          <w:rStyle w:val="hlfld-title"/>
          <w:rFonts w:ascii="Arial" w:hAnsi="Arial" w:cs="Arial"/>
        </w:rPr>
        <w:t xml:space="preserve">Intrapleural </w:t>
      </w:r>
      <w:r>
        <w:rPr>
          <w:rStyle w:val="hlfld-title"/>
          <w:rFonts w:ascii="Arial" w:hAnsi="Arial" w:cs="Arial"/>
        </w:rPr>
        <w:t>t</w:t>
      </w:r>
      <w:r w:rsidRPr="00271024">
        <w:rPr>
          <w:rStyle w:val="hlfld-title"/>
          <w:rFonts w:ascii="Arial" w:hAnsi="Arial" w:cs="Arial"/>
        </w:rPr>
        <w:t xml:space="preserve">issue </w:t>
      </w:r>
      <w:r>
        <w:rPr>
          <w:rStyle w:val="hlfld-title"/>
          <w:rFonts w:ascii="Arial" w:hAnsi="Arial" w:cs="Arial"/>
        </w:rPr>
        <w:t>p</w:t>
      </w:r>
      <w:r w:rsidRPr="00271024">
        <w:rPr>
          <w:rStyle w:val="hlfld-title"/>
          <w:rFonts w:ascii="Arial" w:hAnsi="Arial" w:cs="Arial"/>
        </w:rPr>
        <w:t xml:space="preserve">lasminogen </w:t>
      </w:r>
      <w:r>
        <w:rPr>
          <w:rStyle w:val="hlfld-title"/>
          <w:rFonts w:ascii="Arial" w:hAnsi="Arial" w:cs="Arial"/>
        </w:rPr>
        <w:t>a</w:t>
      </w:r>
      <w:r w:rsidRPr="00271024">
        <w:rPr>
          <w:rStyle w:val="hlfld-title"/>
          <w:rFonts w:ascii="Arial" w:hAnsi="Arial" w:cs="Arial"/>
        </w:rPr>
        <w:t xml:space="preserve">ctivator and </w:t>
      </w:r>
      <w:r>
        <w:rPr>
          <w:rStyle w:val="hlfld-title"/>
          <w:rFonts w:ascii="Arial" w:hAnsi="Arial" w:cs="Arial"/>
        </w:rPr>
        <w:t>d</w:t>
      </w:r>
      <w:r w:rsidRPr="00271024">
        <w:rPr>
          <w:rStyle w:val="hlfld-title"/>
          <w:rFonts w:ascii="Arial" w:hAnsi="Arial" w:cs="Arial"/>
        </w:rPr>
        <w:t xml:space="preserve">eoxyribonuclease for </w:t>
      </w:r>
      <w:r>
        <w:rPr>
          <w:rStyle w:val="hlfld-title"/>
          <w:rFonts w:ascii="Arial" w:hAnsi="Arial" w:cs="Arial"/>
        </w:rPr>
        <w:t>p</w:t>
      </w:r>
      <w:r w:rsidRPr="00271024">
        <w:rPr>
          <w:rStyle w:val="hlfld-title"/>
          <w:rFonts w:ascii="Arial" w:hAnsi="Arial" w:cs="Arial"/>
        </w:rPr>
        <w:t xml:space="preserve">leural </w:t>
      </w:r>
      <w:r>
        <w:rPr>
          <w:rStyle w:val="hlfld-title"/>
          <w:rFonts w:ascii="Arial" w:hAnsi="Arial" w:cs="Arial"/>
        </w:rPr>
        <w:t>i</w:t>
      </w:r>
      <w:r w:rsidRPr="00271024">
        <w:rPr>
          <w:rStyle w:val="hlfld-title"/>
          <w:rFonts w:ascii="Arial" w:hAnsi="Arial" w:cs="Arial"/>
        </w:rPr>
        <w:t xml:space="preserve">nfection. An </w:t>
      </w:r>
      <w:r>
        <w:rPr>
          <w:rStyle w:val="hlfld-title"/>
          <w:rFonts w:ascii="Arial" w:hAnsi="Arial" w:cs="Arial"/>
        </w:rPr>
        <w:t>e</w:t>
      </w:r>
      <w:r w:rsidRPr="00271024">
        <w:rPr>
          <w:rStyle w:val="hlfld-title"/>
          <w:rFonts w:ascii="Arial" w:hAnsi="Arial" w:cs="Arial"/>
        </w:rPr>
        <w:t xml:space="preserve">ffective and </w:t>
      </w:r>
      <w:r>
        <w:rPr>
          <w:rStyle w:val="hlfld-title"/>
          <w:rFonts w:ascii="Arial" w:hAnsi="Arial" w:cs="Arial"/>
        </w:rPr>
        <w:t>s</w:t>
      </w:r>
      <w:r w:rsidRPr="00271024">
        <w:rPr>
          <w:rStyle w:val="hlfld-title"/>
          <w:rFonts w:ascii="Arial" w:hAnsi="Arial" w:cs="Arial"/>
        </w:rPr>
        <w:t xml:space="preserve">afe </w:t>
      </w:r>
      <w:r>
        <w:rPr>
          <w:rStyle w:val="hlfld-title"/>
          <w:rFonts w:ascii="Arial" w:hAnsi="Arial" w:cs="Arial"/>
        </w:rPr>
        <w:t>a</w:t>
      </w:r>
      <w:r w:rsidRPr="00271024">
        <w:rPr>
          <w:rStyle w:val="hlfld-title"/>
          <w:rFonts w:ascii="Arial" w:hAnsi="Arial" w:cs="Arial"/>
        </w:rPr>
        <w:t xml:space="preserve">lternative to </w:t>
      </w:r>
      <w:r>
        <w:rPr>
          <w:rStyle w:val="hlfld-title"/>
          <w:rFonts w:ascii="Arial" w:hAnsi="Arial" w:cs="Arial"/>
        </w:rPr>
        <w:t>s</w:t>
      </w:r>
      <w:r w:rsidRPr="00271024">
        <w:rPr>
          <w:rStyle w:val="hlfld-title"/>
          <w:rFonts w:ascii="Arial" w:hAnsi="Arial" w:cs="Arial"/>
        </w:rPr>
        <w:t xml:space="preserve">urgery. </w:t>
      </w:r>
      <w:r w:rsidRPr="00271024">
        <w:rPr>
          <w:rFonts w:ascii="Arial" w:hAnsi="Arial" w:cs="Arial"/>
          <w:i/>
        </w:rPr>
        <w:t xml:space="preserve">Ann Am Thor Soc </w:t>
      </w:r>
      <w:r w:rsidRPr="00271024">
        <w:rPr>
          <w:rFonts w:ascii="Arial" w:hAnsi="Arial" w:cs="Arial"/>
        </w:rPr>
        <w:t>2014; 11(9):1419-1425.</w:t>
      </w:r>
    </w:p>
    <w:p w14:paraId="52113B95" w14:textId="77777777" w:rsidR="002872F8" w:rsidRDefault="002872F8" w:rsidP="002872F8">
      <w:pPr>
        <w:spacing w:after="0"/>
        <w:contextualSpacing/>
        <w:rPr>
          <w:rFonts w:ascii="Arial" w:hAnsi="Arial" w:cs="Arial"/>
        </w:rPr>
      </w:pPr>
    </w:p>
    <w:p w14:paraId="7A27928D" w14:textId="77777777" w:rsidR="002872F8" w:rsidRPr="00D06430" w:rsidRDefault="002872F8" w:rsidP="002872F8">
      <w:pPr>
        <w:spacing w:after="0"/>
        <w:contextualSpacing/>
        <w:rPr>
          <w:rFonts w:ascii="Arial" w:hAnsi="Arial" w:cs="Arial"/>
        </w:rPr>
      </w:pPr>
      <w:r>
        <w:rPr>
          <w:rFonts w:ascii="Arial" w:hAnsi="Arial" w:cs="Arial"/>
        </w:rPr>
        <w:t xml:space="preserve">Majid A, Kheir F, Foch A, </w:t>
      </w:r>
      <w:r w:rsidRPr="00845B8D">
        <w:rPr>
          <w:rFonts w:ascii="Arial" w:hAnsi="Arial" w:cs="Arial"/>
          <w:i/>
        </w:rPr>
        <w:t>et al.</w:t>
      </w:r>
      <w:r>
        <w:rPr>
          <w:rFonts w:ascii="Arial" w:hAnsi="Arial" w:cs="Arial"/>
        </w:rPr>
        <w:t xml:space="preserve"> Concurrent intrapleural instillation of tissue plasminogen activator and DNase for pleural infection. </w:t>
      </w:r>
      <w:r w:rsidRPr="00845B8D">
        <w:rPr>
          <w:rFonts w:ascii="Arial" w:hAnsi="Arial" w:cs="Arial"/>
          <w:i/>
        </w:rPr>
        <w:t>Annals ATS</w:t>
      </w:r>
      <w:r>
        <w:rPr>
          <w:rFonts w:ascii="Arial" w:hAnsi="Arial" w:cs="Arial"/>
        </w:rPr>
        <w:t xml:space="preserve"> 2016;13(9):1512-1518.</w:t>
      </w:r>
    </w:p>
    <w:p w14:paraId="5B2E19BE" w14:textId="77777777" w:rsidR="002872F8" w:rsidRDefault="002872F8" w:rsidP="002872F8">
      <w:pPr>
        <w:contextualSpacing/>
        <w:rPr>
          <w:rFonts w:ascii="Arial" w:hAnsi="Arial" w:cs="Arial"/>
          <w:b/>
        </w:rPr>
      </w:pPr>
    </w:p>
    <w:p w14:paraId="732714BB" w14:textId="77777777" w:rsidR="002872F8" w:rsidRDefault="002872F8" w:rsidP="002872F8">
      <w:pPr>
        <w:contextualSpacing/>
        <w:rPr>
          <w:rFonts w:ascii="Arial" w:hAnsi="Arial" w:cs="Arial"/>
          <w:b/>
        </w:rPr>
      </w:pPr>
    </w:p>
    <w:p w14:paraId="129E64DE" w14:textId="77777777" w:rsidR="002872F8" w:rsidRPr="00CB2E27" w:rsidRDefault="002872F8" w:rsidP="002872F8">
      <w:pPr>
        <w:contextualSpacing/>
        <w:rPr>
          <w:rFonts w:ascii="Arial" w:hAnsi="Arial" w:cs="Arial"/>
          <w:b/>
        </w:rPr>
      </w:pPr>
      <w:r>
        <w:rPr>
          <w:rFonts w:ascii="Arial" w:hAnsi="Arial" w:cs="Arial"/>
          <w:b/>
        </w:rPr>
        <w:lastRenderedPageBreak/>
        <w:t>APPENDIX</w:t>
      </w:r>
      <w:r w:rsidRPr="00CB2E27">
        <w:rPr>
          <w:rFonts w:ascii="Arial" w:hAnsi="Arial" w:cs="Arial"/>
          <w:b/>
        </w:rPr>
        <w:t xml:space="preserve"> 1</w:t>
      </w:r>
    </w:p>
    <w:p w14:paraId="61906021" w14:textId="77777777" w:rsidR="002872F8" w:rsidRDefault="002872F8" w:rsidP="002872F8">
      <w:pPr>
        <w:contextualSpacing/>
        <w:rPr>
          <w:rFonts w:ascii="Arial" w:hAnsi="Arial" w:cs="Arial"/>
          <w:b/>
        </w:rPr>
      </w:pPr>
    </w:p>
    <w:p w14:paraId="7AC4B6C3" w14:textId="77777777" w:rsidR="002872F8" w:rsidRDefault="002872F8" w:rsidP="002872F8">
      <w:pPr>
        <w:contextualSpacing/>
        <w:rPr>
          <w:rFonts w:ascii="Arial" w:hAnsi="Arial" w:cs="Arial"/>
          <w:b/>
        </w:rPr>
      </w:pPr>
      <w:r>
        <w:rPr>
          <w:rFonts w:ascii="Arial" w:hAnsi="Arial" w:cs="Arial"/>
          <w:b/>
        </w:rPr>
        <w:t xml:space="preserve">Figure </w:t>
      </w:r>
      <w:r w:rsidRPr="00CB2E27">
        <w:rPr>
          <w:rFonts w:ascii="Arial" w:hAnsi="Arial" w:cs="Arial"/>
          <w:b/>
        </w:rPr>
        <w:t>1</w:t>
      </w:r>
    </w:p>
    <w:p w14:paraId="67A462CE" w14:textId="77777777" w:rsidR="002872F8" w:rsidRDefault="002872F8" w:rsidP="002872F8">
      <w:pPr>
        <w:contextualSpacing/>
        <w:rPr>
          <w:rFonts w:ascii="Arial" w:hAnsi="Arial" w:cs="Arial"/>
          <w:b/>
        </w:rPr>
      </w:pPr>
    </w:p>
    <w:p w14:paraId="286F5E5E" w14:textId="77777777" w:rsidR="002872F8" w:rsidRPr="00CB2E27" w:rsidRDefault="002872F8" w:rsidP="002872F8">
      <w:pPr>
        <w:contextualSpacing/>
        <w:jc w:val="center"/>
        <w:rPr>
          <w:rFonts w:ascii="Arial" w:hAnsi="Arial" w:cs="Arial"/>
          <w:b/>
        </w:rPr>
      </w:pPr>
      <w:r>
        <w:rPr>
          <w:rFonts w:ascii="Arial" w:hAnsi="Arial" w:cs="Arial"/>
          <w:b/>
          <w:noProof/>
          <w:lang w:eastAsia="en-GB"/>
        </w:rPr>
        <w:drawing>
          <wp:inline distT="0" distB="0" distL="0" distR="0" wp14:anchorId="5524F855" wp14:editId="0657C49A">
            <wp:extent cx="3219450" cy="2415531"/>
            <wp:effectExtent l="0" t="0" r="0" b="4445"/>
            <wp:docPr id="2" name="Picture 2" descr="C:\Users\rc023\AppData\Local\Microsoft\Windows\Temporary Internet Files\Content.Outlook\QNHUUOBE\IMG_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c023\AppData\Local\Microsoft\Windows\Temporary Internet Files\Content.Outlook\QNHUUOBE\IMG_076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5917" cy="2420383"/>
                    </a:xfrm>
                    <a:prstGeom prst="rect">
                      <a:avLst/>
                    </a:prstGeom>
                    <a:noFill/>
                    <a:ln>
                      <a:noFill/>
                    </a:ln>
                  </pic:spPr>
                </pic:pic>
              </a:graphicData>
            </a:graphic>
          </wp:inline>
        </w:drawing>
      </w:r>
    </w:p>
    <w:p w14:paraId="5383F458" w14:textId="77777777" w:rsidR="002872F8" w:rsidRDefault="002872F8" w:rsidP="002872F8">
      <w:pPr>
        <w:contextualSpacing/>
        <w:rPr>
          <w:rFonts w:ascii="Arial" w:hAnsi="Arial" w:cs="Arial"/>
          <w:b/>
        </w:rPr>
      </w:pPr>
    </w:p>
    <w:p w14:paraId="0841B6A7" w14:textId="77777777" w:rsidR="002872F8" w:rsidRPr="00CB2E27" w:rsidRDefault="002872F8" w:rsidP="002872F8">
      <w:pPr>
        <w:contextualSpacing/>
        <w:rPr>
          <w:rFonts w:ascii="Arial" w:hAnsi="Arial" w:cs="Arial"/>
          <w:b/>
        </w:rPr>
      </w:pPr>
      <w:r>
        <w:rPr>
          <w:rFonts w:ascii="Arial" w:hAnsi="Arial" w:cs="Arial"/>
          <w:b/>
        </w:rPr>
        <w:t xml:space="preserve">Figure </w:t>
      </w:r>
      <w:r w:rsidRPr="00CB2E27">
        <w:rPr>
          <w:rFonts w:ascii="Arial" w:hAnsi="Arial" w:cs="Arial"/>
          <w:b/>
        </w:rPr>
        <w:t>2</w:t>
      </w:r>
    </w:p>
    <w:p w14:paraId="5C08E09C" w14:textId="77777777" w:rsidR="002872F8" w:rsidRDefault="002872F8" w:rsidP="002872F8">
      <w:pPr>
        <w:contextualSpacing/>
        <w:rPr>
          <w:rFonts w:ascii="Arial" w:hAnsi="Arial" w:cs="Arial"/>
          <w:b/>
        </w:rPr>
      </w:pPr>
    </w:p>
    <w:p w14:paraId="5B9DA680" w14:textId="77777777" w:rsidR="002872F8" w:rsidRDefault="002872F8" w:rsidP="002872F8">
      <w:pPr>
        <w:contextualSpacing/>
        <w:jc w:val="center"/>
        <w:rPr>
          <w:rFonts w:ascii="Arial" w:hAnsi="Arial" w:cs="Arial"/>
          <w:b/>
        </w:rPr>
      </w:pPr>
      <w:r>
        <w:rPr>
          <w:rFonts w:ascii="Arial" w:hAnsi="Arial" w:cs="Arial"/>
          <w:b/>
          <w:noProof/>
          <w:lang w:eastAsia="en-GB"/>
        </w:rPr>
        <w:drawing>
          <wp:inline distT="0" distB="0" distL="0" distR="0" wp14:anchorId="701DF4C0" wp14:editId="48435B6B">
            <wp:extent cx="3219450" cy="2415531"/>
            <wp:effectExtent l="0" t="0" r="0" b="4445"/>
            <wp:docPr id="3" name="Picture 3" descr="C:\Users\rc023\AppData\Local\Microsoft\Windows\Temporary Internet Files\Content.Outlook\QNHUUOBE\IMG_0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023\AppData\Local\Microsoft\Windows\Temporary Internet Files\Content.Outlook\QNHUUOBE\IMG_076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2555" cy="2417861"/>
                    </a:xfrm>
                    <a:prstGeom prst="rect">
                      <a:avLst/>
                    </a:prstGeom>
                    <a:noFill/>
                    <a:ln>
                      <a:noFill/>
                    </a:ln>
                  </pic:spPr>
                </pic:pic>
              </a:graphicData>
            </a:graphic>
          </wp:inline>
        </w:drawing>
      </w:r>
    </w:p>
    <w:p w14:paraId="4A095092" w14:textId="77777777" w:rsidR="002872F8" w:rsidRDefault="002872F8" w:rsidP="002872F8">
      <w:pPr>
        <w:contextualSpacing/>
        <w:rPr>
          <w:rFonts w:ascii="Arial" w:hAnsi="Arial" w:cs="Arial"/>
          <w:b/>
        </w:rPr>
      </w:pPr>
    </w:p>
    <w:p w14:paraId="4EA2B89A" w14:textId="77777777" w:rsidR="002872F8" w:rsidRDefault="002872F8" w:rsidP="002872F8">
      <w:pPr>
        <w:contextualSpacing/>
        <w:rPr>
          <w:rFonts w:ascii="Arial" w:hAnsi="Arial" w:cs="Arial"/>
          <w:b/>
        </w:rPr>
      </w:pPr>
      <w:r>
        <w:rPr>
          <w:rFonts w:ascii="Arial" w:hAnsi="Arial" w:cs="Arial"/>
          <w:b/>
        </w:rPr>
        <w:t>Figure</w:t>
      </w:r>
      <w:r w:rsidRPr="00CB2E27">
        <w:rPr>
          <w:rFonts w:ascii="Arial" w:hAnsi="Arial" w:cs="Arial"/>
          <w:b/>
        </w:rPr>
        <w:t xml:space="preserve"> 3</w:t>
      </w:r>
    </w:p>
    <w:p w14:paraId="5390C3AF" w14:textId="77777777" w:rsidR="002872F8" w:rsidRPr="00CB2E27" w:rsidRDefault="002872F8" w:rsidP="002872F8">
      <w:pPr>
        <w:contextualSpacing/>
        <w:rPr>
          <w:rFonts w:ascii="Arial" w:hAnsi="Arial" w:cs="Arial"/>
          <w:b/>
        </w:rPr>
      </w:pPr>
    </w:p>
    <w:p w14:paraId="1E33B0B1" w14:textId="21F69576" w:rsidR="00F37ECA" w:rsidRPr="002872F8" w:rsidRDefault="002872F8" w:rsidP="002872F8">
      <w:pPr>
        <w:contextualSpacing/>
        <w:jc w:val="center"/>
        <w:rPr>
          <w:rFonts w:ascii="Arial" w:hAnsi="Arial" w:cs="Arial"/>
          <w:b/>
          <w:color w:val="FF0000"/>
        </w:rPr>
      </w:pPr>
      <w:r>
        <w:rPr>
          <w:rFonts w:ascii="Arial" w:hAnsi="Arial" w:cs="Arial"/>
          <w:b/>
          <w:noProof/>
          <w:color w:val="FF0000"/>
          <w:lang w:eastAsia="en-GB"/>
        </w:rPr>
        <w:drawing>
          <wp:inline distT="0" distB="0" distL="0" distR="0" wp14:anchorId="5B16E07A" wp14:editId="17AE8289">
            <wp:extent cx="3211847" cy="2409825"/>
            <wp:effectExtent l="0" t="0" r="7620" b="0"/>
            <wp:docPr id="4" name="Picture 4" descr="C:\Users\rc023\AppData\Local\Microsoft\Windows\Temporary Internet Files\Content.Outlook\QNHUUOBE\IMG_0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c023\AppData\Local\Microsoft\Windows\Temporary Internet Files\Content.Outlook\QNHUUOBE\IMG_076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5671" cy="2420197"/>
                    </a:xfrm>
                    <a:prstGeom prst="rect">
                      <a:avLst/>
                    </a:prstGeom>
                    <a:noFill/>
                    <a:ln>
                      <a:noFill/>
                    </a:ln>
                  </pic:spPr>
                </pic:pic>
              </a:graphicData>
            </a:graphic>
          </wp:inline>
        </w:drawing>
      </w:r>
    </w:p>
    <w:sectPr w:rsidR="00F37ECA" w:rsidRPr="002872F8" w:rsidSect="002872F8">
      <w:footerReference w:type="default" r:id="rId12"/>
      <w:pgSz w:w="11906" w:h="16838"/>
      <w:pgMar w:top="709" w:right="707" w:bottom="1440" w:left="709" w:header="708"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A5682" w14:textId="77777777" w:rsidR="00166C46" w:rsidRDefault="00166C46" w:rsidP="002872F8">
      <w:pPr>
        <w:spacing w:after="0" w:line="240" w:lineRule="auto"/>
      </w:pPr>
      <w:r>
        <w:separator/>
      </w:r>
    </w:p>
  </w:endnote>
  <w:endnote w:type="continuationSeparator" w:id="0">
    <w:p w14:paraId="55D0BB7B" w14:textId="77777777" w:rsidR="00166C46" w:rsidRDefault="00166C46" w:rsidP="00287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71074265"/>
      <w:docPartObj>
        <w:docPartGallery w:val="Page Numbers (Bottom of Page)"/>
        <w:docPartUnique/>
      </w:docPartObj>
    </w:sdtPr>
    <w:sdtContent>
      <w:p w14:paraId="26298985" w14:textId="65360FD6" w:rsidR="002872F8" w:rsidRPr="002872F8" w:rsidRDefault="002872F8">
        <w:pPr>
          <w:pStyle w:val="Footer"/>
          <w:jc w:val="right"/>
          <w:rPr>
            <w:sz w:val="16"/>
            <w:szCs w:val="16"/>
          </w:rPr>
        </w:pPr>
        <w:r w:rsidRPr="002872F8">
          <w:rPr>
            <w:sz w:val="16"/>
            <w:szCs w:val="16"/>
          </w:rPr>
          <w:fldChar w:fldCharType="begin"/>
        </w:r>
        <w:r w:rsidRPr="002872F8">
          <w:rPr>
            <w:sz w:val="16"/>
            <w:szCs w:val="16"/>
          </w:rPr>
          <w:instrText>PAGE   \* MERGEFORMAT</w:instrText>
        </w:r>
        <w:r w:rsidRPr="002872F8">
          <w:rPr>
            <w:sz w:val="16"/>
            <w:szCs w:val="16"/>
          </w:rPr>
          <w:fldChar w:fldCharType="separate"/>
        </w:r>
        <w:r w:rsidRPr="002872F8">
          <w:rPr>
            <w:sz w:val="16"/>
            <w:szCs w:val="16"/>
          </w:rPr>
          <w:t>2</w:t>
        </w:r>
        <w:r w:rsidRPr="002872F8">
          <w:rPr>
            <w:sz w:val="16"/>
            <w:szCs w:val="16"/>
          </w:rPr>
          <w:fldChar w:fldCharType="end"/>
        </w:r>
      </w:p>
    </w:sdtContent>
  </w:sdt>
  <w:p w14:paraId="0D6357C1" w14:textId="3140F3A7" w:rsidR="002872F8" w:rsidRPr="002872F8" w:rsidRDefault="002872F8" w:rsidP="002872F8">
    <w:pPr>
      <w:spacing w:after="0"/>
      <w:contextualSpacing/>
      <w:rPr>
        <w:rFonts w:ascii="Arial" w:hAnsi="Arial" w:cs="Arial"/>
        <w:sz w:val="14"/>
        <w:szCs w:val="14"/>
      </w:rPr>
    </w:pPr>
    <w:r w:rsidRPr="002872F8">
      <w:rPr>
        <w:rFonts w:ascii="Arial" w:hAnsi="Arial" w:cs="Arial"/>
        <w:b/>
        <w:sz w:val="14"/>
        <w:szCs w:val="14"/>
      </w:rPr>
      <w:t xml:space="preserve">Author </w:t>
    </w:r>
    <w:r w:rsidRPr="002872F8">
      <w:rPr>
        <w:rFonts w:ascii="Arial" w:hAnsi="Arial" w:cs="Arial"/>
        <w:sz w:val="14"/>
        <w:szCs w:val="14"/>
      </w:rPr>
      <w:t xml:space="preserve">Henry Steer / Oliver Bintcliffe </w:t>
    </w:r>
  </w:p>
  <w:p w14:paraId="372A48C0" w14:textId="78647683" w:rsidR="002872F8" w:rsidRPr="002872F8" w:rsidRDefault="002872F8" w:rsidP="002872F8">
    <w:pPr>
      <w:spacing w:after="0"/>
      <w:contextualSpacing/>
      <w:rPr>
        <w:rFonts w:ascii="Arial" w:hAnsi="Arial" w:cs="Arial"/>
        <w:sz w:val="14"/>
        <w:szCs w:val="14"/>
      </w:rPr>
    </w:pPr>
    <w:r w:rsidRPr="002872F8">
      <w:rPr>
        <w:rFonts w:ascii="Arial" w:hAnsi="Arial" w:cs="Arial"/>
        <w:b/>
        <w:sz w:val="14"/>
        <w:szCs w:val="14"/>
      </w:rPr>
      <w:t xml:space="preserve">Approved </w:t>
    </w:r>
    <w:r w:rsidRPr="002872F8">
      <w:rPr>
        <w:rFonts w:ascii="Arial" w:hAnsi="Arial" w:cs="Arial"/>
        <w:sz w:val="14"/>
        <w:szCs w:val="14"/>
      </w:rPr>
      <w:t>June 2026</w:t>
    </w:r>
  </w:p>
  <w:p w14:paraId="6C35CC15" w14:textId="77777777" w:rsidR="002872F8" w:rsidRPr="002872F8" w:rsidRDefault="002872F8" w:rsidP="002872F8">
    <w:pPr>
      <w:spacing w:after="0"/>
      <w:contextualSpacing/>
      <w:rPr>
        <w:rFonts w:ascii="Arial" w:hAnsi="Arial" w:cs="Arial"/>
        <w:sz w:val="14"/>
        <w:szCs w:val="14"/>
      </w:rPr>
    </w:pPr>
    <w:r w:rsidRPr="002872F8">
      <w:rPr>
        <w:rFonts w:ascii="Arial" w:hAnsi="Arial" w:cs="Arial"/>
        <w:b/>
        <w:sz w:val="14"/>
        <w:szCs w:val="14"/>
      </w:rPr>
      <w:t>Review date</w:t>
    </w:r>
    <w:r w:rsidRPr="002872F8">
      <w:rPr>
        <w:rFonts w:ascii="Arial" w:hAnsi="Arial" w:cs="Arial"/>
        <w:sz w:val="14"/>
        <w:szCs w:val="14"/>
      </w:rPr>
      <w:t xml:space="preserve"> June 2029</w:t>
    </w:r>
  </w:p>
  <w:p w14:paraId="7620F68C" w14:textId="77777777" w:rsidR="002872F8" w:rsidRDefault="00287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EC8D" w14:textId="77777777" w:rsidR="00166C46" w:rsidRDefault="00166C46" w:rsidP="002872F8">
      <w:pPr>
        <w:spacing w:after="0" w:line="240" w:lineRule="auto"/>
      </w:pPr>
      <w:r>
        <w:separator/>
      </w:r>
    </w:p>
  </w:footnote>
  <w:footnote w:type="continuationSeparator" w:id="0">
    <w:p w14:paraId="06345F7F" w14:textId="77777777" w:rsidR="00166C46" w:rsidRDefault="00166C46" w:rsidP="00287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3198D"/>
    <w:multiLevelType w:val="hybridMultilevel"/>
    <w:tmpl w:val="64ACA0FA"/>
    <w:lvl w:ilvl="0" w:tplc="1E7841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51F4D3"/>
    <w:multiLevelType w:val="hybridMultilevel"/>
    <w:tmpl w:val="EA592C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B5456EE"/>
    <w:multiLevelType w:val="hybridMultilevel"/>
    <w:tmpl w:val="7EDC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211990">
    <w:abstractNumId w:val="1"/>
  </w:num>
  <w:num w:numId="2" w16cid:durableId="1665890143">
    <w:abstractNumId w:val="2"/>
  </w:num>
  <w:num w:numId="3" w16cid:durableId="154058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F8"/>
    <w:rsid w:val="00166C46"/>
    <w:rsid w:val="002872F8"/>
    <w:rsid w:val="0048501A"/>
    <w:rsid w:val="004D237A"/>
    <w:rsid w:val="004D4D25"/>
    <w:rsid w:val="00952B0E"/>
    <w:rsid w:val="00B205EA"/>
    <w:rsid w:val="00CB23C9"/>
    <w:rsid w:val="00D00F9E"/>
    <w:rsid w:val="00F3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5BA0E"/>
  <w15:chartTrackingRefBased/>
  <w15:docId w15:val="{A5CA53FE-353B-4304-8021-FFB80500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F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8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2F8"/>
    <w:rPr>
      <w:rFonts w:eastAsiaTheme="majorEastAsia" w:cstheme="majorBidi"/>
      <w:color w:val="272727" w:themeColor="text1" w:themeTint="D8"/>
    </w:rPr>
  </w:style>
  <w:style w:type="paragraph" w:styleId="Title">
    <w:name w:val="Title"/>
    <w:basedOn w:val="Normal"/>
    <w:next w:val="Normal"/>
    <w:link w:val="TitleChar"/>
    <w:uiPriority w:val="10"/>
    <w:qFormat/>
    <w:rsid w:val="00287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2F8"/>
    <w:pPr>
      <w:spacing w:before="160"/>
      <w:jc w:val="center"/>
    </w:pPr>
    <w:rPr>
      <w:i/>
      <w:iCs/>
      <w:color w:val="404040" w:themeColor="text1" w:themeTint="BF"/>
    </w:rPr>
  </w:style>
  <w:style w:type="character" w:customStyle="1" w:styleId="QuoteChar">
    <w:name w:val="Quote Char"/>
    <w:basedOn w:val="DefaultParagraphFont"/>
    <w:link w:val="Quote"/>
    <w:uiPriority w:val="29"/>
    <w:rsid w:val="002872F8"/>
    <w:rPr>
      <w:i/>
      <w:iCs/>
      <w:color w:val="404040" w:themeColor="text1" w:themeTint="BF"/>
    </w:rPr>
  </w:style>
  <w:style w:type="paragraph" w:styleId="ListParagraph">
    <w:name w:val="List Paragraph"/>
    <w:basedOn w:val="Normal"/>
    <w:uiPriority w:val="34"/>
    <w:qFormat/>
    <w:rsid w:val="002872F8"/>
    <w:pPr>
      <w:ind w:left="720"/>
      <w:contextualSpacing/>
    </w:pPr>
  </w:style>
  <w:style w:type="character" w:styleId="IntenseEmphasis">
    <w:name w:val="Intense Emphasis"/>
    <w:basedOn w:val="DefaultParagraphFont"/>
    <w:uiPriority w:val="21"/>
    <w:qFormat/>
    <w:rsid w:val="002872F8"/>
    <w:rPr>
      <w:i/>
      <w:iCs/>
      <w:color w:val="0F4761" w:themeColor="accent1" w:themeShade="BF"/>
    </w:rPr>
  </w:style>
  <w:style w:type="paragraph" w:styleId="IntenseQuote">
    <w:name w:val="Intense Quote"/>
    <w:basedOn w:val="Normal"/>
    <w:next w:val="Normal"/>
    <w:link w:val="IntenseQuoteChar"/>
    <w:uiPriority w:val="30"/>
    <w:qFormat/>
    <w:rsid w:val="0028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2F8"/>
    <w:rPr>
      <w:i/>
      <w:iCs/>
      <w:color w:val="0F4761" w:themeColor="accent1" w:themeShade="BF"/>
    </w:rPr>
  </w:style>
  <w:style w:type="character" w:styleId="IntenseReference">
    <w:name w:val="Intense Reference"/>
    <w:basedOn w:val="DefaultParagraphFont"/>
    <w:uiPriority w:val="32"/>
    <w:qFormat/>
    <w:rsid w:val="002872F8"/>
    <w:rPr>
      <w:b/>
      <w:bCs/>
      <w:smallCaps/>
      <w:color w:val="0F4761" w:themeColor="accent1" w:themeShade="BF"/>
      <w:spacing w:val="5"/>
    </w:rPr>
  </w:style>
  <w:style w:type="table" w:styleId="TableGrid">
    <w:name w:val="Table Grid"/>
    <w:basedOn w:val="TableNormal"/>
    <w:uiPriority w:val="59"/>
    <w:rsid w:val="002872F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872F8"/>
    <w:pPr>
      <w:spacing w:after="120" w:line="240" w:lineRule="auto"/>
    </w:pPr>
    <w:rPr>
      <w:rFonts w:ascii="Arial" w:eastAsia="Times New Roman" w:hAnsi="Arial" w:cs="Times New Roman"/>
      <w:sz w:val="24"/>
      <w:szCs w:val="24"/>
      <w:lang w:val="en-US"/>
    </w:rPr>
  </w:style>
  <w:style w:type="character" w:customStyle="1" w:styleId="BodyTextChar">
    <w:name w:val="Body Text Char"/>
    <w:basedOn w:val="DefaultParagraphFont"/>
    <w:link w:val="BodyText"/>
    <w:rsid w:val="002872F8"/>
    <w:rPr>
      <w:rFonts w:ascii="Arial" w:eastAsia="Times New Roman" w:hAnsi="Arial" w:cs="Times New Roman"/>
      <w:kern w:val="0"/>
      <w:lang w:val="en-US"/>
      <w14:ligatures w14:val="none"/>
    </w:rPr>
  </w:style>
  <w:style w:type="character" w:customStyle="1" w:styleId="hlfld-title">
    <w:name w:val="hlfld-title"/>
    <w:rsid w:val="002872F8"/>
  </w:style>
  <w:style w:type="character" w:customStyle="1" w:styleId="nlmstring-name">
    <w:name w:val="nlm_string-name"/>
    <w:rsid w:val="002872F8"/>
  </w:style>
  <w:style w:type="paragraph" w:styleId="Header">
    <w:name w:val="header"/>
    <w:basedOn w:val="Normal"/>
    <w:link w:val="HeaderChar"/>
    <w:uiPriority w:val="99"/>
    <w:unhideWhenUsed/>
    <w:rsid w:val="00287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2F8"/>
    <w:rPr>
      <w:kern w:val="0"/>
      <w:sz w:val="22"/>
      <w:szCs w:val="22"/>
      <w14:ligatures w14:val="none"/>
    </w:rPr>
  </w:style>
  <w:style w:type="paragraph" w:styleId="Footer">
    <w:name w:val="footer"/>
    <w:basedOn w:val="Normal"/>
    <w:link w:val="FooterChar"/>
    <w:uiPriority w:val="99"/>
    <w:unhideWhenUsed/>
    <w:rsid w:val="00287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2F8"/>
    <w:rPr>
      <w:kern w:val="0"/>
      <w:sz w:val="22"/>
      <w:szCs w:val="22"/>
      <w14:ligatures w14:val="none"/>
    </w:rPr>
  </w:style>
  <w:style w:type="paragraph" w:styleId="NormalWeb">
    <w:name w:val="Normal (Web)"/>
    <w:basedOn w:val="Normal"/>
    <w:uiPriority w:val="99"/>
    <w:semiHidden/>
    <w:unhideWhenUsed/>
    <w:rsid w:val="00952B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FB935-46AE-4044-B736-C43A20B1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1539</Words>
  <Characters>8424</Characters>
  <Application>Microsoft Office Word</Application>
  <DocSecurity>0</DocSecurity>
  <Lines>227</Lines>
  <Paragraphs>132</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BINTCLIFFE, Oliver (GLOUCESTERSHIRE HOSPITALS NHS FOUNDATION TRUST)</dc:creator>
  <cp:keywords/>
  <dc:description/>
  <cp:lastModifiedBy>DOLPHIN, Michelle (GLOUCESTERSHIRE HOSPITALS NHS FOUNDATION TRUST)</cp:lastModifiedBy>
  <cp:revision>2</cp:revision>
  <dcterms:created xsi:type="dcterms:W3CDTF">2026-06-29T07:43:00Z</dcterms:created>
  <dcterms:modified xsi:type="dcterms:W3CDTF">2026-06-29T11:35:00Z</dcterms:modified>
</cp:coreProperties>
</file>