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4844" w14:textId="13E0ECED" w:rsidR="00DA4369" w:rsidRPr="00A43A17" w:rsidRDefault="00650B9C" w:rsidP="00B870B3">
      <w:pPr>
        <w:spacing w:after="0" w:line="240" w:lineRule="auto"/>
        <w:jc w:val="center"/>
        <w:rPr>
          <w:rFonts w:ascii="Arial" w:hAnsi="Arial" w:cs="Arial"/>
          <w:b/>
          <w:sz w:val="24"/>
          <w:szCs w:val="24"/>
        </w:rPr>
      </w:pPr>
      <w:r w:rsidRPr="00A43A17">
        <w:rPr>
          <w:rFonts w:ascii="Arial" w:hAnsi="Arial" w:cs="Arial"/>
          <w:b/>
          <w:sz w:val="24"/>
          <w:szCs w:val="24"/>
        </w:rPr>
        <w:t>GLOUCESTERSHIRE HOSPITALS</w:t>
      </w:r>
      <w:r w:rsidR="00DA4369" w:rsidRPr="00A43A17">
        <w:rPr>
          <w:rFonts w:ascii="Arial" w:hAnsi="Arial" w:cs="Arial"/>
          <w:b/>
          <w:sz w:val="24"/>
          <w:szCs w:val="24"/>
        </w:rPr>
        <w:t xml:space="preserve"> NHS FOUNDATION TRUST</w:t>
      </w:r>
    </w:p>
    <w:p w14:paraId="58D3DF31" w14:textId="77777777" w:rsidR="00B870B3" w:rsidRPr="00A43A17" w:rsidRDefault="00B870B3" w:rsidP="00B870B3">
      <w:pPr>
        <w:spacing w:after="0" w:line="240" w:lineRule="auto"/>
        <w:ind w:left="360"/>
        <w:jc w:val="center"/>
        <w:rPr>
          <w:rFonts w:ascii="Arial" w:hAnsi="Arial" w:cs="Arial"/>
          <w:b/>
          <w:sz w:val="24"/>
          <w:szCs w:val="24"/>
        </w:rPr>
      </w:pPr>
    </w:p>
    <w:p w14:paraId="44945383" w14:textId="2F1BCEA8" w:rsidR="00C4411E" w:rsidRPr="00A43A17" w:rsidRDefault="00797128" w:rsidP="00B870B3">
      <w:pPr>
        <w:spacing w:after="0" w:line="240" w:lineRule="auto"/>
        <w:ind w:left="360"/>
        <w:jc w:val="center"/>
        <w:rPr>
          <w:rFonts w:ascii="Arial" w:hAnsi="Arial" w:cs="Arial"/>
          <w:b/>
          <w:sz w:val="24"/>
          <w:szCs w:val="24"/>
        </w:rPr>
      </w:pPr>
      <w:r w:rsidRPr="00A43A17">
        <w:rPr>
          <w:rFonts w:ascii="Arial" w:hAnsi="Arial" w:cs="Arial"/>
          <w:b/>
          <w:sz w:val="24"/>
          <w:szCs w:val="24"/>
        </w:rPr>
        <w:t xml:space="preserve">FINANCE AND </w:t>
      </w:r>
      <w:r w:rsidR="00B62E5E" w:rsidRPr="00A43A17">
        <w:rPr>
          <w:rFonts w:ascii="Arial" w:hAnsi="Arial" w:cs="Arial"/>
          <w:b/>
          <w:sz w:val="24"/>
          <w:szCs w:val="24"/>
        </w:rPr>
        <w:t>RESOURCES</w:t>
      </w:r>
      <w:r w:rsidRPr="00A43A17">
        <w:rPr>
          <w:rFonts w:ascii="Arial" w:hAnsi="Arial" w:cs="Arial"/>
          <w:b/>
          <w:sz w:val="24"/>
          <w:szCs w:val="24"/>
        </w:rPr>
        <w:t xml:space="preserve"> </w:t>
      </w:r>
      <w:r w:rsidR="00C4411E" w:rsidRPr="00A43A17">
        <w:rPr>
          <w:rFonts w:ascii="Arial" w:hAnsi="Arial" w:cs="Arial"/>
          <w:b/>
          <w:sz w:val="24"/>
          <w:szCs w:val="24"/>
        </w:rPr>
        <w:t>COMMITTEE</w:t>
      </w:r>
    </w:p>
    <w:p w14:paraId="7E256D92" w14:textId="77777777" w:rsidR="00B870B3" w:rsidRPr="00A43A17" w:rsidRDefault="00B870B3" w:rsidP="00B870B3">
      <w:pPr>
        <w:spacing w:after="0" w:line="240" w:lineRule="auto"/>
        <w:ind w:left="360"/>
        <w:jc w:val="center"/>
        <w:rPr>
          <w:rFonts w:ascii="Arial" w:hAnsi="Arial" w:cs="Arial"/>
          <w:b/>
          <w:sz w:val="24"/>
          <w:szCs w:val="24"/>
        </w:rPr>
      </w:pPr>
    </w:p>
    <w:p w14:paraId="09549745" w14:textId="532644AC" w:rsidR="00C4411E" w:rsidRPr="00A43A17" w:rsidRDefault="00C4411E" w:rsidP="00B870B3">
      <w:pPr>
        <w:spacing w:after="0" w:line="240" w:lineRule="auto"/>
        <w:ind w:left="360"/>
        <w:jc w:val="center"/>
        <w:rPr>
          <w:rFonts w:ascii="Arial" w:hAnsi="Arial" w:cs="Arial"/>
          <w:b/>
          <w:sz w:val="24"/>
          <w:szCs w:val="24"/>
        </w:rPr>
      </w:pPr>
      <w:r w:rsidRPr="00A43A17">
        <w:rPr>
          <w:rFonts w:ascii="Arial" w:hAnsi="Arial" w:cs="Arial"/>
          <w:b/>
          <w:sz w:val="24"/>
          <w:szCs w:val="24"/>
        </w:rPr>
        <w:t>TERMS OF REFERENCE</w:t>
      </w:r>
    </w:p>
    <w:p w14:paraId="45497BB6" w14:textId="77777777" w:rsidR="00B870B3" w:rsidRPr="00A43A17" w:rsidRDefault="00B870B3" w:rsidP="00B870B3">
      <w:pPr>
        <w:spacing w:after="0" w:line="240" w:lineRule="auto"/>
        <w:ind w:left="360"/>
        <w:jc w:val="cente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C4411E" w:rsidRPr="00A43A17" w14:paraId="40F9A989" w14:textId="77777777" w:rsidTr="006737F8">
        <w:trPr>
          <w:trHeight w:val="205"/>
        </w:trPr>
        <w:tc>
          <w:tcPr>
            <w:tcW w:w="1648" w:type="pct"/>
            <w:shd w:val="clear" w:color="auto" w:fill="DBE5F1" w:themeFill="accent1" w:themeFillTint="33"/>
          </w:tcPr>
          <w:p w14:paraId="0D3BDAE8" w14:textId="77777777" w:rsidR="00C4411E"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Accountable to</w:t>
            </w:r>
          </w:p>
        </w:tc>
        <w:tc>
          <w:tcPr>
            <w:tcW w:w="3352" w:type="pct"/>
            <w:shd w:val="clear" w:color="auto" w:fill="DBE5F1" w:themeFill="accent1" w:themeFillTint="33"/>
          </w:tcPr>
          <w:p w14:paraId="4C49A988" w14:textId="77777777" w:rsidR="00C4411E" w:rsidRPr="00A43A17" w:rsidRDefault="00C4411E" w:rsidP="00B870B3">
            <w:pPr>
              <w:spacing w:after="0" w:line="240" w:lineRule="auto"/>
              <w:rPr>
                <w:rFonts w:ascii="Arial" w:hAnsi="Arial" w:cs="Arial"/>
                <w:sz w:val="24"/>
                <w:szCs w:val="24"/>
              </w:rPr>
            </w:pPr>
            <w:r w:rsidRPr="00A43A17">
              <w:rPr>
                <w:rFonts w:ascii="Arial" w:hAnsi="Arial" w:cs="Arial"/>
                <w:sz w:val="24"/>
                <w:szCs w:val="24"/>
              </w:rPr>
              <w:t>Board of Directors</w:t>
            </w:r>
          </w:p>
        </w:tc>
      </w:tr>
      <w:tr w:rsidR="00C4411E" w:rsidRPr="00A43A17" w14:paraId="517DFBBA" w14:textId="77777777" w:rsidTr="006737F8">
        <w:trPr>
          <w:trHeight w:val="411"/>
        </w:trPr>
        <w:tc>
          <w:tcPr>
            <w:tcW w:w="1648" w:type="pct"/>
            <w:shd w:val="clear" w:color="auto" w:fill="DBE5F1" w:themeFill="accent1" w:themeFillTint="33"/>
          </w:tcPr>
          <w:p w14:paraId="44E9D286" w14:textId="77777777" w:rsidR="00C4411E"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Chair</w:t>
            </w:r>
          </w:p>
          <w:p w14:paraId="593E2BC8" w14:textId="09C9503E" w:rsidR="0061050B" w:rsidRPr="00A43A17" w:rsidRDefault="0061050B" w:rsidP="00B870B3">
            <w:pPr>
              <w:spacing w:after="0" w:line="240" w:lineRule="auto"/>
              <w:rPr>
                <w:rFonts w:ascii="Arial" w:hAnsi="Arial" w:cs="Arial"/>
                <w:b/>
                <w:sz w:val="24"/>
                <w:szCs w:val="24"/>
              </w:rPr>
            </w:pPr>
            <w:r w:rsidRPr="00A43A17">
              <w:rPr>
                <w:rFonts w:ascii="Arial" w:hAnsi="Arial" w:cs="Arial"/>
                <w:b/>
                <w:sz w:val="24"/>
                <w:szCs w:val="24"/>
              </w:rPr>
              <w:t>Executive Lead</w:t>
            </w:r>
            <w:r w:rsidR="00B870B3" w:rsidRPr="00A43A17">
              <w:rPr>
                <w:rFonts w:ascii="Arial" w:hAnsi="Arial" w:cs="Arial"/>
                <w:b/>
                <w:sz w:val="24"/>
                <w:szCs w:val="24"/>
              </w:rPr>
              <w:t>(</w:t>
            </w:r>
            <w:r w:rsidR="00A5314F" w:rsidRPr="00A43A17">
              <w:rPr>
                <w:rFonts w:ascii="Arial" w:hAnsi="Arial" w:cs="Arial"/>
                <w:b/>
                <w:sz w:val="24"/>
                <w:szCs w:val="24"/>
              </w:rPr>
              <w:t>s</w:t>
            </w:r>
            <w:r w:rsidR="00B870B3" w:rsidRPr="00A43A17">
              <w:rPr>
                <w:rFonts w:ascii="Arial" w:hAnsi="Arial" w:cs="Arial"/>
                <w:b/>
                <w:sz w:val="24"/>
                <w:szCs w:val="24"/>
              </w:rPr>
              <w:t>)</w:t>
            </w:r>
          </w:p>
        </w:tc>
        <w:tc>
          <w:tcPr>
            <w:tcW w:w="3352" w:type="pct"/>
            <w:shd w:val="clear" w:color="auto" w:fill="DBE5F1" w:themeFill="accent1" w:themeFillTint="33"/>
          </w:tcPr>
          <w:p w14:paraId="41226DF9" w14:textId="77777777" w:rsidR="00C4411E" w:rsidRPr="00A43A17" w:rsidRDefault="00C4411E" w:rsidP="00B870B3">
            <w:pPr>
              <w:spacing w:after="0" w:line="240" w:lineRule="auto"/>
              <w:rPr>
                <w:rFonts w:ascii="Arial" w:hAnsi="Arial" w:cs="Arial"/>
                <w:sz w:val="24"/>
                <w:szCs w:val="24"/>
              </w:rPr>
            </w:pPr>
            <w:r w:rsidRPr="00A43A17">
              <w:rPr>
                <w:rFonts w:ascii="Arial" w:hAnsi="Arial" w:cs="Arial"/>
                <w:sz w:val="24"/>
                <w:szCs w:val="24"/>
              </w:rPr>
              <w:t>Non-Executive Director</w:t>
            </w:r>
          </w:p>
          <w:p w14:paraId="60E1CCE3" w14:textId="05DD43A8" w:rsidR="0061050B" w:rsidRPr="00A43A17" w:rsidRDefault="006374D1" w:rsidP="00B870B3">
            <w:pPr>
              <w:spacing w:after="0" w:line="240" w:lineRule="auto"/>
              <w:rPr>
                <w:rFonts w:ascii="Arial" w:hAnsi="Arial" w:cs="Arial"/>
                <w:sz w:val="24"/>
                <w:szCs w:val="24"/>
              </w:rPr>
            </w:pPr>
            <w:r w:rsidRPr="00A43A17">
              <w:rPr>
                <w:rFonts w:ascii="Arial" w:hAnsi="Arial" w:cs="Arial"/>
                <w:sz w:val="24"/>
                <w:szCs w:val="24"/>
              </w:rPr>
              <w:t>Director of Finance</w:t>
            </w:r>
            <w:r w:rsidR="00F45C53">
              <w:rPr>
                <w:rFonts w:ascii="Arial" w:hAnsi="Arial" w:cs="Arial"/>
                <w:sz w:val="24"/>
                <w:szCs w:val="24"/>
              </w:rPr>
              <w:t>/Deputy Chief Executive/Chief Digital Information Officer</w:t>
            </w:r>
          </w:p>
        </w:tc>
      </w:tr>
      <w:tr w:rsidR="00C4411E" w:rsidRPr="00A43A17" w14:paraId="0E2402FB" w14:textId="77777777" w:rsidTr="006737F8">
        <w:trPr>
          <w:trHeight w:val="215"/>
        </w:trPr>
        <w:tc>
          <w:tcPr>
            <w:tcW w:w="1648" w:type="pct"/>
            <w:shd w:val="clear" w:color="auto" w:fill="DBE5F1" w:themeFill="accent1" w:themeFillTint="33"/>
          </w:tcPr>
          <w:p w14:paraId="692EF18C" w14:textId="77777777" w:rsidR="00C4411E" w:rsidRPr="00A43A17" w:rsidRDefault="00AC6EB8" w:rsidP="00B870B3">
            <w:pPr>
              <w:spacing w:after="0" w:line="240" w:lineRule="auto"/>
              <w:rPr>
                <w:rFonts w:ascii="Arial" w:hAnsi="Arial" w:cs="Arial"/>
                <w:b/>
                <w:sz w:val="24"/>
                <w:szCs w:val="24"/>
              </w:rPr>
            </w:pPr>
            <w:r w:rsidRPr="00A43A17">
              <w:rPr>
                <w:rFonts w:ascii="Arial" w:hAnsi="Arial" w:cs="Arial"/>
                <w:b/>
                <w:sz w:val="24"/>
                <w:szCs w:val="24"/>
              </w:rPr>
              <w:t xml:space="preserve">Frequency of </w:t>
            </w:r>
            <w:r w:rsidR="00C4411E" w:rsidRPr="00A43A17">
              <w:rPr>
                <w:rFonts w:ascii="Arial" w:hAnsi="Arial" w:cs="Arial"/>
                <w:b/>
                <w:sz w:val="24"/>
                <w:szCs w:val="24"/>
              </w:rPr>
              <w:t>Meetings</w:t>
            </w:r>
          </w:p>
        </w:tc>
        <w:tc>
          <w:tcPr>
            <w:tcW w:w="3352" w:type="pct"/>
            <w:shd w:val="clear" w:color="auto" w:fill="DBE5F1" w:themeFill="accent1" w:themeFillTint="33"/>
          </w:tcPr>
          <w:p w14:paraId="48F5860A" w14:textId="4775E9F7" w:rsidR="00C4411E" w:rsidRPr="00A43A17" w:rsidRDefault="000D24E4" w:rsidP="00B870B3">
            <w:pPr>
              <w:spacing w:after="0" w:line="240" w:lineRule="auto"/>
              <w:rPr>
                <w:rFonts w:ascii="Arial" w:hAnsi="Arial" w:cs="Arial"/>
                <w:sz w:val="24"/>
                <w:szCs w:val="24"/>
              </w:rPr>
            </w:pPr>
            <w:r w:rsidRPr="00A43A17">
              <w:rPr>
                <w:rFonts w:ascii="Arial" w:hAnsi="Arial" w:cs="Arial"/>
                <w:sz w:val="24"/>
                <w:szCs w:val="24"/>
              </w:rPr>
              <w:t>A minimum of 10 ‘ordinary’ meetings</w:t>
            </w:r>
            <w:r w:rsidR="00C4411E" w:rsidRPr="00A43A17">
              <w:rPr>
                <w:rFonts w:ascii="Arial" w:hAnsi="Arial" w:cs="Arial"/>
                <w:sz w:val="24"/>
                <w:szCs w:val="24"/>
              </w:rPr>
              <w:t xml:space="preserve"> per annum </w:t>
            </w:r>
          </w:p>
        </w:tc>
      </w:tr>
      <w:tr w:rsidR="00C4411E" w:rsidRPr="00A43A17" w14:paraId="51901CCC" w14:textId="77777777" w:rsidTr="006737F8">
        <w:trPr>
          <w:trHeight w:val="295"/>
        </w:trPr>
        <w:tc>
          <w:tcPr>
            <w:tcW w:w="1648" w:type="pct"/>
            <w:shd w:val="clear" w:color="auto" w:fill="DBE5F1" w:themeFill="accent1" w:themeFillTint="33"/>
          </w:tcPr>
          <w:p w14:paraId="16930664" w14:textId="77777777" w:rsidR="00C4411E"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Quorum</w:t>
            </w:r>
          </w:p>
        </w:tc>
        <w:tc>
          <w:tcPr>
            <w:tcW w:w="3352" w:type="pct"/>
            <w:shd w:val="clear" w:color="auto" w:fill="DBE5F1" w:themeFill="accent1" w:themeFillTint="33"/>
          </w:tcPr>
          <w:p w14:paraId="2168EE71" w14:textId="6143BE1F" w:rsidR="005D08A1" w:rsidRPr="00A43A17" w:rsidRDefault="00805A4D" w:rsidP="00B870B3">
            <w:pPr>
              <w:spacing w:after="0" w:line="240" w:lineRule="auto"/>
              <w:rPr>
                <w:rFonts w:ascii="Arial" w:hAnsi="Arial" w:cs="Arial"/>
                <w:sz w:val="24"/>
                <w:szCs w:val="24"/>
              </w:rPr>
            </w:pPr>
            <w:r w:rsidRPr="00A43A17">
              <w:rPr>
                <w:rFonts w:ascii="Arial" w:hAnsi="Arial" w:cs="Arial"/>
                <w:sz w:val="24"/>
                <w:szCs w:val="24"/>
              </w:rPr>
              <w:t>The quorum shall be two Non</w:t>
            </w:r>
            <w:r w:rsidRPr="00A43A17">
              <w:rPr>
                <w:rFonts w:ascii="Arial" w:hAnsi="Arial" w:cs="Arial"/>
                <w:sz w:val="24"/>
                <w:szCs w:val="24"/>
              </w:rPr>
              <w:noBreakHyphen/>
              <w:t>Executive Directors, the Director of Finance (or nominated deputy), and at least one other Executive Director (or nominated deputy), ordinarily drawn from the executive leads (or deputies) for Estates or Digital in line with the main business of the meeting.</w:t>
            </w:r>
          </w:p>
        </w:tc>
      </w:tr>
      <w:tr w:rsidR="00E842F6" w:rsidRPr="00A43A17" w14:paraId="486A09CB" w14:textId="77777777" w:rsidTr="006737F8">
        <w:trPr>
          <w:trHeight w:val="205"/>
        </w:trPr>
        <w:tc>
          <w:tcPr>
            <w:tcW w:w="1648" w:type="pct"/>
            <w:shd w:val="clear" w:color="auto" w:fill="DBE5F1" w:themeFill="accent1" w:themeFillTint="33"/>
          </w:tcPr>
          <w:p w14:paraId="20AD9D58" w14:textId="77777777" w:rsidR="00E842F6" w:rsidRPr="00A43A17" w:rsidRDefault="00E842F6" w:rsidP="00B870B3">
            <w:pPr>
              <w:spacing w:after="0" w:line="240" w:lineRule="auto"/>
              <w:rPr>
                <w:rFonts w:ascii="Arial" w:hAnsi="Arial" w:cs="Arial"/>
                <w:b/>
                <w:sz w:val="24"/>
                <w:szCs w:val="24"/>
              </w:rPr>
            </w:pPr>
            <w:r w:rsidRPr="00A43A17">
              <w:rPr>
                <w:rFonts w:ascii="Arial" w:hAnsi="Arial" w:cs="Arial"/>
                <w:b/>
                <w:sz w:val="24"/>
                <w:szCs w:val="24"/>
              </w:rPr>
              <w:t>Approval</w:t>
            </w:r>
          </w:p>
        </w:tc>
        <w:tc>
          <w:tcPr>
            <w:tcW w:w="3352" w:type="pct"/>
            <w:shd w:val="clear" w:color="auto" w:fill="DBE5F1" w:themeFill="accent1" w:themeFillTint="33"/>
          </w:tcPr>
          <w:p w14:paraId="3F7A0DA3" w14:textId="58D4687F" w:rsidR="00E842F6" w:rsidRPr="00A43A17" w:rsidRDefault="00805A4D" w:rsidP="00B870B3">
            <w:pPr>
              <w:spacing w:after="0" w:line="240" w:lineRule="auto"/>
              <w:rPr>
                <w:rFonts w:ascii="Arial" w:hAnsi="Arial" w:cs="Arial"/>
                <w:sz w:val="24"/>
                <w:szCs w:val="24"/>
              </w:rPr>
            </w:pPr>
            <w:r w:rsidRPr="00A43A17">
              <w:rPr>
                <w:rFonts w:ascii="Arial" w:hAnsi="Arial" w:cs="Arial"/>
                <w:sz w:val="24"/>
                <w:szCs w:val="24"/>
              </w:rPr>
              <w:t>T</w:t>
            </w:r>
            <w:r w:rsidR="00F46400" w:rsidRPr="00A43A17">
              <w:rPr>
                <w:rFonts w:ascii="Arial" w:hAnsi="Arial" w:cs="Arial"/>
                <w:sz w:val="24"/>
                <w:szCs w:val="24"/>
              </w:rPr>
              <w:t>bc</w:t>
            </w:r>
          </w:p>
        </w:tc>
      </w:tr>
      <w:tr w:rsidR="00E842F6" w:rsidRPr="00A43A17" w14:paraId="7094E63B" w14:textId="77777777" w:rsidTr="006737F8">
        <w:trPr>
          <w:trHeight w:val="205"/>
        </w:trPr>
        <w:tc>
          <w:tcPr>
            <w:tcW w:w="1648" w:type="pct"/>
            <w:shd w:val="clear" w:color="auto" w:fill="DBE5F1" w:themeFill="accent1" w:themeFillTint="33"/>
          </w:tcPr>
          <w:p w14:paraId="270699F2" w14:textId="77777777" w:rsidR="00E842F6" w:rsidRPr="00A43A17" w:rsidRDefault="00E842F6" w:rsidP="00B870B3">
            <w:pPr>
              <w:spacing w:after="0" w:line="240" w:lineRule="auto"/>
              <w:rPr>
                <w:rFonts w:ascii="Arial" w:hAnsi="Arial" w:cs="Arial"/>
                <w:b/>
                <w:sz w:val="24"/>
                <w:szCs w:val="24"/>
              </w:rPr>
            </w:pPr>
            <w:r w:rsidRPr="00A43A17">
              <w:rPr>
                <w:rFonts w:ascii="Arial" w:hAnsi="Arial" w:cs="Arial"/>
                <w:b/>
                <w:sz w:val="24"/>
                <w:szCs w:val="24"/>
              </w:rPr>
              <w:t>Review date</w:t>
            </w:r>
          </w:p>
        </w:tc>
        <w:tc>
          <w:tcPr>
            <w:tcW w:w="3352" w:type="pct"/>
            <w:shd w:val="clear" w:color="auto" w:fill="DBE5F1" w:themeFill="accent1" w:themeFillTint="33"/>
          </w:tcPr>
          <w:p w14:paraId="434CB3A7" w14:textId="04D00D89" w:rsidR="00E842F6" w:rsidRPr="00A43A17" w:rsidRDefault="00712AC7" w:rsidP="00B870B3">
            <w:pPr>
              <w:spacing w:after="0" w:line="240" w:lineRule="auto"/>
              <w:rPr>
                <w:rFonts w:ascii="Arial" w:hAnsi="Arial" w:cs="Arial"/>
                <w:sz w:val="24"/>
                <w:szCs w:val="24"/>
              </w:rPr>
            </w:pPr>
            <w:r w:rsidRPr="00A43A17">
              <w:rPr>
                <w:rFonts w:ascii="Arial" w:hAnsi="Arial" w:cs="Arial"/>
                <w:sz w:val="24"/>
                <w:szCs w:val="24"/>
              </w:rPr>
              <w:t>March 2028</w:t>
            </w:r>
          </w:p>
        </w:tc>
      </w:tr>
    </w:tbl>
    <w:p w14:paraId="24036E46" w14:textId="77777777" w:rsidR="00B870B3" w:rsidRPr="00A43A17" w:rsidRDefault="00B870B3" w:rsidP="00B870B3">
      <w:pPr>
        <w:spacing w:after="0" w:line="240" w:lineRule="auto"/>
        <w:ind w:hanging="567"/>
        <w:rPr>
          <w:rFonts w:ascii="Arial" w:hAnsi="Arial" w:cs="Arial"/>
          <w:b/>
          <w:sz w:val="24"/>
          <w:szCs w:val="24"/>
        </w:rPr>
      </w:pPr>
    </w:p>
    <w:p w14:paraId="1B515A19" w14:textId="7CE97A3D" w:rsidR="00AC6EB8"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CONSTITUTION</w:t>
      </w:r>
    </w:p>
    <w:p w14:paraId="5558CFF9" w14:textId="77777777" w:rsidR="00B870B3" w:rsidRPr="00A43A17" w:rsidRDefault="00B870B3" w:rsidP="00B870B3">
      <w:pPr>
        <w:spacing w:after="0" w:line="240" w:lineRule="auto"/>
        <w:ind w:left="-567"/>
        <w:jc w:val="both"/>
        <w:rPr>
          <w:rFonts w:ascii="Arial" w:hAnsi="Arial" w:cs="Arial"/>
          <w:sz w:val="24"/>
          <w:szCs w:val="24"/>
        </w:rPr>
      </w:pPr>
    </w:p>
    <w:p w14:paraId="1AFA43E1" w14:textId="7B1E710E" w:rsidR="00B6752A" w:rsidRPr="00A43A17" w:rsidRDefault="00C4411E" w:rsidP="00B870B3">
      <w:pPr>
        <w:spacing w:after="0" w:line="240" w:lineRule="auto"/>
        <w:jc w:val="both"/>
        <w:rPr>
          <w:rFonts w:ascii="Arial" w:hAnsi="Arial" w:cs="Arial"/>
          <w:sz w:val="24"/>
          <w:szCs w:val="24"/>
        </w:rPr>
      </w:pPr>
      <w:r w:rsidRPr="00A43A17">
        <w:rPr>
          <w:rFonts w:ascii="Arial" w:hAnsi="Arial" w:cs="Arial"/>
          <w:sz w:val="24"/>
          <w:szCs w:val="24"/>
        </w:rPr>
        <w:t xml:space="preserve">In accordance with the Constitution of the Trust, a </w:t>
      </w:r>
      <w:r w:rsidR="00B62E5E" w:rsidRPr="00A43A17">
        <w:rPr>
          <w:rFonts w:ascii="Arial" w:hAnsi="Arial" w:cs="Arial"/>
          <w:sz w:val="24"/>
          <w:szCs w:val="24"/>
        </w:rPr>
        <w:t>committee</w:t>
      </w:r>
      <w:r w:rsidRPr="00A43A17">
        <w:rPr>
          <w:rFonts w:ascii="Arial" w:hAnsi="Arial" w:cs="Arial"/>
          <w:sz w:val="24"/>
          <w:szCs w:val="24"/>
        </w:rPr>
        <w:t xml:space="preserve"> is established, to be known as the </w:t>
      </w:r>
      <w:r w:rsidR="00797128" w:rsidRPr="00A43A17">
        <w:rPr>
          <w:rFonts w:ascii="Arial" w:hAnsi="Arial" w:cs="Arial"/>
          <w:sz w:val="24"/>
          <w:szCs w:val="24"/>
        </w:rPr>
        <w:t xml:space="preserve">Finance and </w:t>
      </w:r>
      <w:r w:rsidR="00B62E5E" w:rsidRPr="00A43A17">
        <w:rPr>
          <w:rFonts w:ascii="Arial" w:hAnsi="Arial" w:cs="Arial"/>
          <w:sz w:val="24"/>
          <w:szCs w:val="24"/>
        </w:rPr>
        <w:t>Resources</w:t>
      </w:r>
      <w:r w:rsidR="00797128" w:rsidRPr="00A43A17">
        <w:rPr>
          <w:rFonts w:ascii="Arial" w:hAnsi="Arial" w:cs="Arial"/>
          <w:sz w:val="24"/>
          <w:szCs w:val="24"/>
        </w:rPr>
        <w:t xml:space="preserve"> </w:t>
      </w:r>
      <w:r w:rsidRPr="00A43A17">
        <w:rPr>
          <w:rFonts w:ascii="Arial" w:hAnsi="Arial" w:cs="Arial"/>
          <w:sz w:val="24"/>
          <w:szCs w:val="24"/>
        </w:rPr>
        <w:t>Committee (“the Committee”).</w:t>
      </w:r>
    </w:p>
    <w:p w14:paraId="45A05893" w14:textId="77777777" w:rsidR="00B870B3" w:rsidRPr="00A43A17" w:rsidRDefault="00B870B3" w:rsidP="00B870B3">
      <w:pPr>
        <w:spacing w:after="0" w:line="240" w:lineRule="auto"/>
        <w:ind w:firstLine="284"/>
        <w:rPr>
          <w:rFonts w:ascii="Arial" w:hAnsi="Arial" w:cs="Arial"/>
          <w:b/>
          <w:bCs/>
          <w:sz w:val="24"/>
          <w:szCs w:val="24"/>
        </w:rPr>
      </w:pPr>
    </w:p>
    <w:p w14:paraId="6FB4EC1F" w14:textId="184E7FDC" w:rsidR="0082520C" w:rsidRPr="00A43A17" w:rsidRDefault="0082520C" w:rsidP="00B870B3">
      <w:pPr>
        <w:spacing w:after="0" w:line="240" w:lineRule="auto"/>
        <w:rPr>
          <w:rFonts w:ascii="Arial" w:hAnsi="Arial" w:cs="Arial"/>
          <w:b/>
          <w:bCs/>
          <w:sz w:val="24"/>
          <w:szCs w:val="24"/>
        </w:rPr>
      </w:pPr>
      <w:r w:rsidRPr="00A43A17">
        <w:rPr>
          <w:rFonts w:ascii="Arial" w:hAnsi="Arial" w:cs="Arial"/>
          <w:b/>
          <w:bCs/>
          <w:sz w:val="24"/>
          <w:szCs w:val="24"/>
        </w:rPr>
        <w:t>PURPOSE</w:t>
      </w:r>
      <w:r w:rsidR="002A5877" w:rsidRPr="00A43A17">
        <w:rPr>
          <w:rFonts w:ascii="Arial" w:hAnsi="Arial" w:cs="Arial"/>
          <w:b/>
          <w:bCs/>
          <w:sz w:val="24"/>
          <w:szCs w:val="24"/>
        </w:rPr>
        <w:t xml:space="preserve"> BY DOMAIN</w:t>
      </w:r>
    </w:p>
    <w:p w14:paraId="4EDB9BFB" w14:textId="77777777" w:rsidR="00B870B3" w:rsidRPr="00A43A17" w:rsidRDefault="00B870B3" w:rsidP="00B870B3">
      <w:pPr>
        <w:pStyle w:val="ListParagraph"/>
        <w:spacing w:after="0" w:line="240" w:lineRule="auto"/>
        <w:ind w:left="360"/>
        <w:jc w:val="both"/>
        <w:rPr>
          <w:rFonts w:ascii="Arial" w:hAnsi="Arial" w:cs="Arial"/>
          <w:b/>
          <w:bCs/>
          <w:sz w:val="24"/>
          <w:szCs w:val="24"/>
        </w:rPr>
      </w:pPr>
    </w:p>
    <w:p w14:paraId="2D03EB71" w14:textId="706A053C" w:rsidR="00DC374C" w:rsidRPr="00A43A17" w:rsidRDefault="002015E0" w:rsidP="00B870B3">
      <w:pPr>
        <w:pStyle w:val="ListParagraph"/>
        <w:numPr>
          <w:ilvl w:val="0"/>
          <w:numId w:val="24"/>
        </w:numPr>
        <w:spacing w:after="0" w:line="240" w:lineRule="auto"/>
        <w:jc w:val="both"/>
        <w:rPr>
          <w:rFonts w:ascii="Arial" w:hAnsi="Arial" w:cs="Arial"/>
          <w:b/>
          <w:bCs/>
          <w:sz w:val="24"/>
          <w:szCs w:val="24"/>
        </w:rPr>
      </w:pPr>
      <w:r w:rsidRPr="00A43A17">
        <w:rPr>
          <w:rFonts w:ascii="Arial" w:hAnsi="Arial" w:cs="Arial"/>
          <w:sz w:val="24"/>
          <w:szCs w:val="24"/>
        </w:rPr>
        <w:t>The Committee will provide assurance to the Board of Directors (‘the Board’</w:t>
      </w:r>
      <w:r w:rsidR="007F4713" w:rsidRPr="00A43A17">
        <w:rPr>
          <w:rFonts w:ascii="Arial" w:hAnsi="Arial" w:cs="Arial"/>
          <w:sz w:val="24"/>
          <w:szCs w:val="24"/>
        </w:rPr>
        <w:t xml:space="preserve">) </w:t>
      </w:r>
      <w:r w:rsidRPr="00A43A17">
        <w:rPr>
          <w:rFonts w:ascii="Arial" w:hAnsi="Arial" w:cs="Arial"/>
          <w:sz w:val="24"/>
          <w:szCs w:val="24"/>
        </w:rPr>
        <w:t>that</w:t>
      </w:r>
      <w:r w:rsidR="00DC374C" w:rsidRPr="00A43A17">
        <w:rPr>
          <w:rFonts w:ascii="Arial" w:hAnsi="Arial" w:cs="Arial"/>
          <w:sz w:val="24"/>
          <w:szCs w:val="24"/>
        </w:rPr>
        <w:t xml:space="preserve"> the Trust has:</w:t>
      </w:r>
      <w:r w:rsidRPr="00A43A17">
        <w:rPr>
          <w:rFonts w:ascii="Arial" w:hAnsi="Arial" w:cs="Arial"/>
          <w:sz w:val="24"/>
          <w:szCs w:val="24"/>
        </w:rPr>
        <w:t xml:space="preserve"> </w:t>
      </w:r>
      <w:r w:rsidR="00DC374C" w:rsidRPr="00A43A17">
        <w:rPr>
          <w:rFonts w:ascii="Arial" w:hAnsi="Arial" w:cs="Arial"/>
          <w:sz w:val="24"/>
          <w:szCs w:val="24"/>
        </w:rPr>
        <w:t xml:space="preserve"> </w:t>
      </w:r>
    </w:p>
    <w:p w14:paraId="7F279104" w14:textId="77777777" w:rsidR="00A43A17" w:rsidRPr="00A43A17" w:rsidRDefault="00A43A17" w:rsidP="00A43A17">
      <w:pPr>
        <w:pStyle w:val="ListParagraph"/>
        <w:spacing w:after="0" w:line="240" w:lineRule="auto"/>
        <w:ind w:left="360"/>
        <w:jc w:val="both"/>
        <w:rPr>
          <w:rFonts w:ascii="Arial" w:hAnsi="Arial" w:cs="Arial"/>
          <w:b/>
          <w:bCs/>
          <w:sz w:val="24"/>
          <w:szCs w:val="24"/>
        </w:rPr>
      </w:pPr>
    </w:p>
    <w:p w14:paraId="77DAB151" w14:textId="3D494370" w:rsidR="00DC374C" w:rsidRPr="00A43A17" w:rsidRDefault="00DC374C" w:rsidP="00B870B3">
      <w:pPr>
        <w:pStyle w:val="ListParagraph"/>
        <w:numPr>
          <w:ilvl w:val="0"/>
          <w:numId w:val="24"/>
        </w:numPr>
        <w:spacing w:after="0" w:line="240" w:lineRule="auto"/>
        <w:jc w:val="both"/>
        <w:rPr>
          <w:rFonts w:ascii="Arial" w:hAnsi="Arial" w:cs="Arial"/>
          <w:b/>
          <w:bCs/>
          <w:sz w:val="24"/>
          <w:szCs w:val="24"/>
        </w:rPr>
      </w:pPr>
      <w:r w:rsidRPr="00A43A17">
        <w:rPr>
          <w:rFonts w:ascii="Arial" w:hAnsi="Arial" w:cs="Arial"/>
          <w:b/>
          <w:bCs/>
          <w:sz w:val="24"/>
          <w:szCs w:val="24"/>
        </w:rPr>
        <w:t xml:space="preserve">Finance                           </w:t>
      </w:r>
    </w:p>
    <w:p w14:paraId="33EA0BAC" w14:textId="77777777" w:rsidR="00DC374C" w:rsidRPr="00A43A17" w:rsidRDefault="00DC374C" w:rsidP="00DC374C">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Robust and effective arrangements in place for the planning, delivery, control and sustainability of its finances and resources</w:t>
      </w:r>
    </w:p>
    <w:p w14:paraId="34CE8D57" w14:textId="77777777" w:rsidR="00DC374C" w:rsidRPr="00A43A17" w:rsidRDefault="00DC374C" w:rsidP="00DC374C">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Appropriate governance, oversight and mitigation of financial and resource</w:t>
      </w:r>
      <w:r w:rsidRPr="00A43A17">
        <w:rPr>
          <w:rFonts w:ascii="Cambria Math" w:hAnsi="Cambria Math" w:cs="Cambria Math"/>
          <w:sz w:val="24"/>
          <w:szCs w:val="24"/>
        </w:rPr>
        <w:t>‑</w:t>
      </w:r>
      <w:r w:rsidRPr="00A43A17">
        <w:rPr>
          <w:rFonts w:ascii="Arial" w:hAnsi="Arial" w:cs="Arial"/>
          <w:sz w:val="24"/>
          <w:szCs w:val="24"/>
        </w:rPr>
        <w:t>related risks</w:t>
      </w:r>
    </w:p>
    <w:p w14:paraId="2E0D696A" w14:textId="731123DC" w:rsidR="00DC374C" w:rsidRPr="00A43A17" w:rsidRDefault="00DC374C" w:rsidP="00DC374C">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Clear accountability and grip over the delivery of agreed financial plans, without duplicating executive operational management.</w:t>
      </w:r>
    </w:p>
    <w:p w14:paraId="4B6D046B" w14:textId="77777777" w:rsidR="00DC374C" w:rsidRPr="00A43A17" w:rsidRDefault="00DC374C" w:rsidP="00DC374C">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Financial strategy and plans are coherent, credible and aligned to the Trust strategy</w:t>
      </w:r>
    </w:p>
    <w:p w14:paraId="304F543D" w14:textId="77777777" w:rsidR="00DC374C" w:rsidRPr="00A43A17" w:rsidRDefault="00DC374C" w:rsidP="00DC374C">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Delivery against financial plans is being effectively overseen by the executive</w:t>
      </w:r>
    </w:p>
    <w:p w14:paraId="51A77BF8" w14:textId="6E5F7A0E" w:rsidR="00DC374C" w:rsidRPr="00A43A17" w:rsidRDefault="00DC374C" w:rsidP="00DC374C">
      <w:pPr>
        <w:pStyle w:val="ListParagraph"/>
        <w:numPr>
          <w:ilvl w:val="1"/>
          <w:numId w:val="24"/>
        </w:numPr>
        <w:spacing w:after="0" w:line="240" w:lineRule="auto"/>
        <w:jc w:val="both"/>
        <w:rPr>
          <w:rFonts w:ascii="Arial" w:hAnsi="Arial" w:cs="Arial"/>
          <w:b/>
          <w:bCs/>
          <w:sz w:val="24"/>
          <w:szCs w:val="24"/>
        </w:rPr>
      </w:pPr>
      <w:r w:rsidRPr="00A43A17">
        <w:rPr>
          <w:rFonts w:ascii="Arial" w:hAnsi="Arial" w:cs="Arial"/>
          <w:sz w:val="24"/>
          <w:szCs w:val="24"/>
        </w:rPr>
        <w:t>Variances, risks and emerging issues are identified early and are subject to effective corrective action.</w:t>
      </w:r>
    </w:p>
    <w:p w14:paraId="2F1E2A74" w14:textId="77777777" w:rsidR="00A43A17" w:rsidRPr="00A43A17" w:rsidRDefault="00A43A17" w:rsidP="00561E65">
      <w:pPr>
        <w:rPr>
          <w:rFonts w:ascii="Arial" w:hAnsi="Arial" w:cs="Arial"/>
          <w:sz w:val="24"/>
          <w:szCs w:val="24"/>
        </w:rPr>
      </w:pPr>
    </w:p>
    <w:p w14:paraId="20BC6C42" w14:textId="2BF34801" w:rsidR="00B638CF" w:rsidRPr="00A43A17" w:rsidRDefault="00B638CF" w:rsidP="00561E65">
      <w:pPr>
        <w:rPr>
          <w:rFonts w:ascii="Arial" w:hAnsi="Arial" w:cs="Arial"/>
          <w:sz w:val="24"/>
          <w:szCs w:val="24"/>
        </w:rPr>
      </w:pPr>
      <w:r w:rsidRPr="00A43A17">
        <w:rPr>
          <w:rFonts w:ascii="Arial" w:hAnsi="Arial" w:cs="Arial"/>
          <w:sz w:val="24"/>
          <w:szCs w:val="24"/>
        </w:rPr>
        <w:t>The Committee places reliance on the Trust’s designated Finance delivery oversight forums to undertake the operational management of financial plan delivery and to provide structured assurance upward, enabling the Committee to report assurance and escalate concerns to the Board where required.</w:t>
      </w:r>
    </w:p>
    <w:p w14:paraId="23C19095" w14:textId="77777777" w:rsidR="00CE4E6F" w:rsidRPr="00A43A17" w:rsidRDefault="00DC374C" w:rsidP="00B870B3">
      <w:pPr>
        <w:pStyle w:val="ListParagraph"/>
        <w:numPr>
          <w:ilvl w:val="0"/>
          <w:numId w:val="24"/>
        </w:numPr>
        <w:spacing w:after="0" w:line="240" w:lineRule="auto"/>
        <w:jc w:val="both"/>
        <w:rPr>
          <w:rFonts w:ascii="Arial" w:hAnsi="Arial" w:cs="Arial"/>
          <w:b/>
          <w:bCs/>
          <w:sz w:val="24"/>
          <w:szCs w:val="24"/>
        </w:rPr>
      </w:pPr>
      <w:r w:rsidRPr="00A43A17">
        <w:rPr>
          <w:rFonts w:ascii="Arial" w:hAnsi="Arial" w:cs="Arial"/>
          <w:b/>
          <w:bCs/>
          <w:sz w:val="24"/>
          <w:szCs w:val="24"/>
        </w:rPr>
        <w:lastRenderedPageBreak/>
        <w:t>Estates</w:t>
      </w:r>
    </w:p>
    <w:p w14:paraId="073CEA6D" w14:textId="77777777" w:rsidR="00A43A17" w:rsidRPr="00A43A17" w:rsidRDefault="00A43A17" w:rsidP="00A43A17">
      <w:pPr>
        <w:pStyle w:val="ListParagraph"/>
        <w:spacing w:after="0" w:line="240" w:lineRule="auto"/>
        <w:ind w:left="360"/>
        <w:jc w:val="both"/>
        <w:rPr>
          <w:rFonts w:ascii="Arial" w:hAnsi="Arial" w:cs="Arial"/>
          <w:b/>
          <w:bCs/>
          <w:sz w:val="24"/>
          <w:szCs w:val="24"/>
        </w:rPr>
      </w:pPr>
    </w:p>
    <w:p w14:paraId="7D2273AE" w14:textId="36A2E84E" w:rsidR="00CE4E6F" w:rsidRPr="00A43A17" w:rsidRDefault="00CE4E6F" w:rsidP="000D24E4">
      <w:pPr>
        <w:spacing w:after="0" w:line="240" w:lineRule="auto"/>
        <w:jc w:val="both"/>
        <w:rPr>
          <w:rFonts w:ascii="Arial" w:hAnsi="Arial" w:cs="Arial"/>
          <w:sz w:val="24"/>
          <w:szCs w:val="24"/>
        </w:rPr>
      </w:pPr>
      <w:r w:rsidRPr="00A43A17">
        <w:rPr>
          <w:rFonts w:ascii="Arial" w:hAnsi="Arial" w:cs="Arial"/>
          <w:sz w:val="24"/>
          <w:szCs w:val="24"/>
        </w:rPr>
        <w:t>The Committee provides assurance to the Board that the Trust has effective arrangements in place for the governance, planning, investment, safety and sustainability of its estate, and that estates</w:t>
      </w:r>
      <w:r w:rsidRPr="00A43A17">
        <w:rPr>
          <w:rFonts w:ascii="Cambria Math" w:hAnsi="Cambria Math" w:cs="Cambria Math"/>
          <w:sz w:val="24"/>
          <w:szCs w:val="24"/>
        </w:rPr>
        <w:t>‑</w:t>
      </w:r>
      <w:r w:rsidRPr="00A43A17">
        <w:rPr>
          <w:rFonts w:ascii="Arial" w:hAnsi="Arial" w:cs="Arial"/>
          <w:sz w:val="24"/>
          <w:szCs w:val="24"/>
        </w:rPr>
        <w:t>related risks are identified, managed and controlled in line with regulatory and strategic requirements.</w:t>
      </w:r>
      <w:r w:rsidR="00556F46" w:rsidRPr="00A43A17">
        <w:rPr>
          <w:rFonts w:ascii="Arial" w:hAnsi="Arial" w:cs="Arial"/>
          <w:sz w:val="24"/>
          <w:szCs w:val="24"/>
        </w:rPr>
        <w:t xml:space="preserve">  </w:t>
      </w:r>
      <w:r w:rsidRPr="00A43A17">
        <w:rPr>
          <w:rFonts w:ascii="Arial" w:hAnsi="Arial" w:cs="Arial"/>
          <w:sz w:val="24"/>
          <w:szCs w:val="24"/>
        </w:rPr>
        <w:t>It seeks assurance that:</w:t>
      </w:r>
    </w:p>
    <w:p w14:paraId="6BD6AAE5" w14:textId="77777777" w:rsidR="006F6401" w:rsidRPr="00A43A17" w:rsidRDefault="006F6401" w:rsidP="000D24E4">
      <w:pPr>
        <w:spacing w:after="0" w:line="240" w:lineRule="auto"/>
        <w:jc w:val="both"/>
        <w:rPr>
          <w:rFonts w:ascii="Arial" w:hAnsi="Arial" w:cs="Arial"/>
          <w:sz w:val="24"/>
          <w:szCs w:val="24"/>
        </w:rPr>
      </w:pPr>
    </w:p>
    <w:p w14:paraId="56B19E49" w14:textId="32C9DBEC" w:rsidR="00CE4E6F" w:rsidRPr="00A43A17" w:rsidRDefault="00CE4E6F" w:rsidP="00CE4E6F">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 xml:space="preserve">A clear and coherent Estates Strategy is </w:t>
      </w:r>
      <w:r w:rsidR="00F45C53">
        <w:rPr>
          <w:rFonts w:ascii="Arial" w:hAnsi="Arial" w:cs="Arial"/>
          <w:sz w:val="24"/>
          <w:szCs w:val="24"/>
        </w:rPr>
        <w:t xml:space="preserve">developed, </w:t>
      </w:r>
      <w:r w:rsidRPr="00A43A17">
        <w:rPr>
          <w:rFonts w:ascii="Arial" w:hAnsi="Arial" w:cs="Arial"/>
          <w:sz w:val="24"/>
          <w:szCs w:val="24"/>
        </w:rPr>
        <w:t>in place and aligned to clinical, workforce and financial strategies</w:t>
      </w:r>
    </w:p>
    <w:p w14:paraId="77122D0F" w14:textId="77777777" w:rsidR="00CE4E6F" w:rsidRPr="00A43A17" w:rsidRDefault="00CE4E6F" w:rsidP="00CE4E6F">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The executive has effective arrangements for the delivery and oversight of estates plans, including statutory compliance and capital programmes</w:t>
      </w:r>
    </w:p>
    <w:p w14:paraId="0F5790CA" w14:textId="5ED82A37" w:rsidR="00CE4E6F" w:rsidRPr="00A43A17" w:rsidRDefault="00CE4E6F" w:rsidP="00CE4E6F">
      <w:pPr>
        <w:pStyle w:val="ListParagraph"/>
        <w:numPr>
          <w:ilvl w:val="1"/>
          <w:numId w:val="24"/>
        </w:numPr>
        <w:spacing w:after="0" w:line="240" w:lineRule="auto"/>
        <w:jc w:val="both"/>
        <w:rPr>
          <w:rFonts w:ascii="Arial" w:hAnsi="Arial" w:cs="Arial"/>
          <w:sz w:val="24"/>
          <w:szCs w:val="24"/>
        </w:rPr>
      </w:pPr>
      <w:r w:rsidRPr="00A43A17">
        <w:rPr>
          <w:rFonts w:ascii="Arial" w:hAnsi="Arial" w:cs="Arial"/>
          <w:sz w:val="24"/>
          <w:szCs w:val="24"/>
        </w:rPr>
        <w:t>Estates related risks (including backlog maintenance, safety and resilience</w:t>
      </w:r>
      <w:r w:rsidR="00692DAD">
        <w:rPr>
          <w:rFonts w:ascii="Arial" w:hAnsi="Arial" w:cs="Arial"/>
          <w:sz w:val="24"/>
          <w:szCs w:val="24"/>
        </w:rPr>
        <w:t>, sustainability</w:t>
      </w:r>
      <w:r w:rsidRPr="00A43A17">
        <w:rPr>
          <w:rFonts w:ascii="Arial" w:hAnsi="Arial" w:cs="Arial"/>
          <w:sz w:val="24"/>
          <w:szCs w:val="24"/>
        </w:rPr>
        <w:t>) are understood, appropriately mitigated and reflected in corporate risk reporting.</w:t>
      </w:r>
    </w:p>
    <w:p w14:paraId="55DC561D" w14:textId="77777777" w:rsidR="00E50CDC" w:rsidRPr="00A43A17" w:rsidRDefault="00E50CDC" w:rsidP="00E50CDC">
      <w:pPr>
        <w:spacing w:after="0" w:line="240" w:lineRule="auto"/>
        <w:jc w:val="both"/>
        <w:rPr>
          <w:rFonts w:ascii="Arial" w:hAnsi="Arial" w:cs="Arial"/>
          <w:sz w:val="24"/>
          <w:szCs w:val="24"/>
        </w:rPr>
      </w:pPr>
    </w:p>
    <w:p w14:paraId="2D5A3E12" w14:textId="2BF44A8A" w:rsidR="00CE4E6F" w:rsidRPr="00A43A17" w:rsidRDefault="00CE4E6F" w:rsidP="00E50CDC">
      <w:pPr>
        <w:spacing w:after="0" w:line="240" w:lineRule="auto"/>
        <w:jc w:val="both"/>
        <w:rPr>
          <w:rFonts w:ascii="Arial" w:hAnsi="Arial" w:cs="Arial"/>
          <w:sz w:val="24"/>
          <w:szCs w:val="24"/>
        </w:rPr>
      </w:pPr>
      <w:r w:rsidRPr="00A43A17">
        <w:rPr>
          <w:rFonts w:ascii="Arial" w:hAnsi="Arial" w:cs="Arial"/>
          <w:sz w:val="24"/>
          <w:szCs w:val="24"/>
        </w:rPr>
        <w:t>The Committee places reliance on the Trust’s designated Estates delivery and capital oversight forums to undertake the operational management of estates activity and to provide structured assurance upward, enabling the Committee to report assurance and escalate concerns to the Board where required.</w:t>
      </w:r>
    </w:p>
    <w:p w14:paraId="0FD79E84" w14:textId="77777777" w:rsidR="00B870B3" w:rsidRPr="00A43A17" w:rsidRDefault="00B870B3" w:rsidP="00B870B3">
      <w:pPr>
        <w:pStyle w:val="ListParagraph"/>
        <w:spacing w:after="0" w:line="240" w:lineRule="auto"/>
        <w:ind w:left="360"/>
        <w:jc w:val="both"/>
        <w:rPr>
          <w:rFonts w:ascii="Arial" w:hAnsi="Arial" w:cs="Arial"/>
          <w:b/>
          <w:bCs/>
          <w:sz w:val="24"/>
          <w:szCs w:val="24"/>
        </w:rPr>
      </w:pPr>
    </w:p>
    <w:p w14:paraId="354403FB" w14:textId="2FCACA2B" w:rsidR="00CE4E6F" w:rsidRPr="00A43A17" w:rsidRDefault="00CE4E6F" w:rsidP="00CE4E6F">
      <w:pPr>
        <w:pStyle w:val="ListParagraph"/>
        <w:numPr>
          <w:ilvl w:val="0"/>
          <w:numId w:val="24"/>
        </w:numPr>
        <w:spacing w:after="0" w:line="240" w:lineRule="auto"/>
        <w:jc w:val="both"/>
        <w:rPr>
          <w:rFonts w:ascii="Arial" w:hAnsi="Arial" w:cs="Arial"/>
          <w:b/>
          <w:bCs/>
          <w:sz w:val="24"/>
          <w:szCs w:val="24"/>
        </w:rPr>
      </w:pPr>
      <w:r w:rsidRPr="00A43A17">
        <w:rPr>
          <w:rFonts w:ascii="Arial" w:hAnsi="Arial" w:cs="Arial"/>
          <w:b/>
          <w:bCs/>
          <w:sz w:val="24"/>
          <w:szCs w:val="24"/>
        </w:rPr>
        <w:t xml:space="preserve">Digital  </w:t>
      </w:r>
    </w:p>
    <w:p w14:paraId="01794A3A" w14:textId="77777777" w:rsidR="00A43A17" w:rsidRPr="00A43A17" w:rsidRDefault="00A43A17" w:rsidP="00A43A17">
      <w:pPr>
        <w:pStyle w:val="ListParagraph"/>
        <w:spacing w:after="0" w:line="240" w:lineRule="auto"/>
        <w:ind w:left="360"/>
        <w:jc w:val="both"/>
        <w:rPr>
          <w:rFonts w:ascii="Arial" w:hAnsi="Arial" w:cs="Arial"/>
          <w:b/>
          <w:bCs/>
          <w:sz w:val="24"/>
          <w:szCs w:val="24"/>
        </w:rPr>
      </w:pPr>
    </w:p>
    <w:p w14:paraId="51379D47" w14:textId="36E478AA" w:rsidR="00CE4E6F" w:rsidRPr="00A43A17" w:rsidRDefault="000F3A32" w:rsidP="00CE4E6F">
      <w:pPr>
        <w:pStyle w:val="ListParagraph"/>
        <w:spacing w:after="0" w:line="240" w:lineRule="auto"/>
        <w:ind w:left="360"/>
        <w:jc w:val="both"/>
        <w:rPr>
          <w:rFonts w:ascii="Arial" w:hAnsi="Arial" w:cs="Arial"/>
          <w:sz w:val="24"/>
          <w:szCs w:val="24"/>
        </w:rPr>
      </w:pPr>
      <w:r w:rsidRPr="00A43A17">
        <w:rPr>
          <w:rFonts w:ascii="Arial" w:hAnsi="Arial" w:cs="Arial"/>
          <w:sz w:val="24"/>
          <w:szCs w:val="24"/>
        </w:rPr>
        <w:t xml:space="preserve">The Committee </w:t>
      </w:r>
      <w:r w:rsidR="00CE4E6F" w:rsidRPr="00A43A17">
        <w:rPr>
          <w:rFonts w:ascii="Arial" w:hAnsi="Arial" w:cs="Arial"/>
          <w:sz w:val="24"/>
          <w:szCs w:val="24"/>
        </w:rPr>
        <w:t>provides assurance to the Board that the Trust has effective arrangements in place for the governance, investment</w:t>
      </w:r>
      <w:r w:rsidR="00EA47A8" w:rsidRPr="00A43A17">
        <w:rPr>
          <w:rFonts w:ascii="Arial" w:hAnsi="Arial" w:cs="Arial"/>
          <w:sz w:val="24"/>
          <w:szCs w:val="24"/>
        </w:rPr>
        <w:t xml:space="preserve"> and </w:t>
      </w:r>
      <w:r w:rsidR="00CE4E6F" w:rsidRPr="00A43A17">
        <w:rPr>
          <w:rFonts w:ascii="Arial" w:hAnsi="Arial" w:cs="Arial"/>
          <w:sz w:val="24"/>
          <w:szCs w:val="24"/>
        </w:rPr>
        <w:t xml:space="preserve">delivery of digital, data and information technology, </w:t>
      </w:r>
      <w:r w:rsidR="00081855" w:rsidRPr="00A43A17">
        <w:rPr>
          <w:rFonts w:ascii="Arial" w:hAnsi="Arial" w:cs="Arial"/>
          <w:sz w:val="24"/>
          <w:szCs w:val="24"/>
        </w:rPr>
        <w:t xml:space="preserve">including </w:t>
      </w:r>
      <w:r w:rsidR="00453F09" w:rsidRPr="00A43A17">
        <w:rPr>
          <w:rFonts w:ascii="Arial" w:hAnsi="Arial" w:cs="Arial"/>
          <w:sz w:val="24"/>
          <w:szCs w:val="24"/>
        </w:rPr>
        <w:t>benefits realisation and risk</w:t>
      </w:r>
      <w:r w:rsidR="00EF4561" w:rsidRPr="00A43A17">
        <w:rPr>
          <w:rFonts w:ascii="Arial" w:hAnsi="Arial" w:cs="Arial"/>
          <w:sz w:val="24"/>
          <w:szCs w:val="24"/>
        </w:rPr>
        <w:t xml:space="preserve"> management</w:t>
      </w:r>
      <w:r w:rsidR="00CE4E6F" w:rsidRPr="00A43A17">
        <w:rPr>
          <w:rFonts w:ascii="Arial" w:hAnsi="Arial" w:cs="Arial"/>
          <w:sz w:val="24"/>
          <w:szCs w:val="24"/>
        </w:rPr>
        <w:t>.   It seeks assurance that:</w:t>
      </w:r>
    </w:p>
    <w:p w14:paraId="2F077456" w14:textId="443041FB" w:rsidR="00020455" w:rsidRPr="00A43A17" w:rsidRDefault="000F3A32" w:rsidP="00CE4E6F">
      <w:pPr>
        <w:pStyle w:val="ListParagraph"/>
        <w:spacing w:after="0" w:line="240" w:lineRule="auto"/>
        <w:ind w:left="360"/>
        <w:jc w:val="both"/>
        <w:rPr>
          <w:rFonts w:ascii="Arial" w:hAnsi="Arial" w:cs="Arial"/>
          <w:sz w:val="24"/>
          <w:szCs w:val="24"/>
        </w:rPr>
      </w:pPr>
      <w:r w:rsidRPr="00A43A17">
        <w:rPr>
          <w:rFonts w:ascii="Arial" w:hAnsi="Arial" w:cs="Arial"/>
          <w:sz w:val="24"/>
          <w:szCs w:val="24"/>
        </w:rPr>
        <w:t xml:space="preserve">. </w:t>
      </w:r>
    </w:p>
    <w:p w14:paraId="41D9D606" w14:textId="09FDB386" w:rsidR="00CE4E6F" w:rsidRPr="00A43A17" w:rsidRDefault="00CE4E6F" w:rsidP="00CE4E6F">
      <w:pPr>
        <w:pStyle w:val="ListParagraph"/>
        <w:numPr>
          <w:ilvl w:val="0"/>
          <w:numId w:val="25"/>
        </w:numPr>
        <w:spacing w:after="0" w:line="240" w:lineRule="auto"/>
        <w:jc w:val="both"/>
        <w:rPr>
          <w:rFonts w:ascii="Arial" w:hAnsi="Arial" w:cs="Arial"/>
          <w:sz w:val="24"/>
          <w:szCs w:val="24"/>
        </w:rPr>
      </w:pPr>
      <w:r w:rsidRPr="00A43A17">
        <w:rPr>
          <w:rFonts w:ascii="Arial" w:hAnsi="Arial" w:cs="Arial"/>
          <w:sz w:val="24"/>
          <w:szCs w:val="24"/>
        </w:rPr>
        <w:t xml:space="preserve">A clear and deliverable Digital Strategy and roadmap is </w:t>
      </w:r>
      <w:r w:rsidR="00F45C53">
        <w:rPr>
          <w:rFonts w:ascii="Arial" w:hAnsi="Arial" w:cs="Arial"/>
          <w:sz w:val="24"/>
          <w:szCs w:val="24"/>
        </w:rPr>
        <w:t xml:space="preserve">developed, </w:t>
      </w:r>
      <w:r w:rsidRPr="00A43A17">
        <w:rPr>
          <w:rFonts w:ascii="Arial" w:hAnsi="Arial" w:cs="Arial"/>
          <w:sz w:val="24"/>
          <w:szCs w:val="24"/>
        </w:rPr>
        <w:t>in place, aligned to clinical, financial and workforce priorities</w:t>
      </w:r>
    </w:p>
    <w:p w14:paraId="5CF479D2" w14:textId="67C1AED1" w:rsidR="00CE4E6F" w:rsidRPr="00A43A17" w:rsidRDefault="00CE4E6F" w:rsidP="00CE4E6F">
      <w:pPr>
        <w:pStyle w:val="ListParagraph"/>
        <w:numPr>
          <w:ilvl w:val="0"/>
          <w:numId w:val="25"/>
        </w:numPr>
        <w:spacing w:after="0" w:line="240" w:lineRule="auto"/>
        <w:jc w:val="both"/>
        <w:rPr>
          <w:rFonts w:ascii="Arial" w:hAnsi="Arial" w:cs="Arial"/>
          <w:sz w:val="24"/>
          <w:szCs w:val="24"/>
        </w:rPr>
      </w:pPr>
      <w:r w:rsidRPr="00A43A17">
        <w:rPr>
          <w:rFonts w:ascii="Arial" w:hAnsi="Arial" w:cs="Arial"/>
          <w:sz w:val="24"/>
          <w:szCs w:val="24"/>
        </w:rPr>
        <w:t xml:space="preserve">The executive has effective controls over the delivery of digital programmes, </w:t>
      </w:r>
      <w:r w:rsidR="00F45C53">
        <w:rPr>
          <w:rFonts w:ascii="Arial" w:hAnsi="Arial" w:cs="Arial"/>
          <w:sz w:val="24"/>
          <w:szCs w:val="24"/>
        </w:rPr>
        <w:t xml:space="preserve">the efficacy of systems, </w:t>
      </w:r>
      <w:r w:rsidRPr="00A43A17">
        <w:rPr>
          <w:rFonts w:ascii="Arial" w:hAnsi="Arial" w:cs="Arial"/>
          <w:sz w:val="24"/>
          <w:szCs w:val="24"/>
        </w:rPr>
        <w:t>benefits realisation and value for money</w:t>
      </w:r>
    </w:p>
    <w:p w14:paraId="29F25EBB" w14:textId="77777777" w:rsidR="00CE4E6F" w:rsidRPr="00A43A17" w:rsidRDefault="00CE4E6F" w:rsidP="00CE4E6F">
      <w:pPr>
        <w:pStyle w:val="ListParagraph"/>
        <w:numPr>
          <w:ilvl w:val="0"/>
          <w:numId w:val="25"/>
        </w:numPr>
        <w:spacing w:after="0" w:line="240" w:lineRule="auto"/>
        <w:jc w:val="both"/>
        <w:rPr>
          <w:rFonts w:ascii="Arial" w:hAnsi="Arial" w:cs="Arial"/>
          <w:sz w:val="24"/>
          <w:szCs w:val="24"/>
        </w:rPr>
      </w:pPr>
      <w:r w:rsidRPr="00A43A17">
        <w:rPr>
          <w:rFonts w:ascii="Arial" w:hAnsi="Arial" w:cs="Arial"/>
          <w:sz w:val="24"/>
          <w:szCs w:val="24"/>
        </w:rPr>
        <w:t>Risks relating to cyber security, data, system resilience, interoperability and digital safety are identified, mitigated and escalated appropriately.</w:t>
      </w:r>
    </w:p>
    <w:p w14:paraId="5CE1BB87" w14:textId="77777777" w:rsidR="00E50CDC" w:rsidRPr="00A43A17" w:rsidRDefault="00E50CDC" w:rsidP="00B64BA7">
      <w:pPr>
        <w:spacing w:after="0" w:line="240" w:lineRule="auto"/>
        <w:jc w:val="both"/>
        <w:rPr>
          <w:rFonts w:ascii="Arial" w:hAnsi="Arial" w:cs="Arial"/>
          <w:sz w:val="24"/>
          <w:szCs w:val="24"/>
        </w:rPr>
      </w:pPr>
    </w:p>
    <w:p w14:paraId="522905EC" w14:textId="08C3DC29" w:rsidR="00CE4E6F" w:rsidRPr="00A43A17" w:rsidRDefault="00CE4E6F" w:rsidP="00E50CDC">
      <w:pPr>
        <w:spacing w:after="0" w:line="240" w:lineRule="auto"/>
        <w:jc w:val="both"/>
        <w:rPr>
          <w:rFonts w:ascii="Arial" w:hAnsi="Arial" w:cs="Arial"/>
          <w:sz w:val="24"/>
          <w:szCs w:val="24"/>
        </w:rPr>
      </w:pPr>
      <w:r w:rsidRPr="00A43A17">
        <w:rPr>
          <w:rFonts w:ascii="Arial" w:hAnsi="Arial" w:cs="Arial"/>
          <w:sz w:val="24"/>
          <w:szCs w:val="24"/>
        </w:rPr>
        <w:t xml:space="preserve">The Committee places reliance on the Trust’s digital delivery and information governance forums to manage operational delivery and to provide timely, structured assurance, enabling the Committee to </w:t>
      </w:r>
      <w:r w:rsidR="00B638CF" w:rsidRPr="00A43A17">
        <w:rPr>
          <w:rFonts w:ascii="Arial" w:hAnsi="Arial" w:cs="Arial"/>
          <w:sz w:val="24"/>
          <w:szCs w:val="24"/>
        </w:rPr>
        <w:t>report assurance and escalate concerns to the Board where required.</w:t>
      </w:r>
    </w:p>
    <w:p w14:paraId="01BD3151" w14:textId="77777777" w:rsidR="00CE4E6F" w:rsidRPr="00A43A17" w:rsidRDefault="00CE4E6F" w:rsidP="00C60213">
      <w:pPr>
        <w:spacing w:after="0" w:line="240" w:lineRule="auto"/>
        <w:ind w:left="720"/>
        <w:jc w:val="both"/>
        <w:rPr>
          <w:rFonts w:ascii="Arial" w:hAnsi="Arial" w:cs="Arial"/>
          <w:b/>
          <w:bCs/>
          <w:sz w:val="24"/>
          <w:szCs w:val="24"/>
        </w:rPr>
      </w:pPr>
    </w:p>
    <w:p w14:paraId="14023CEB" w14:textId="36C304CC" w:rsidR="00020455" w:rsidRPr="00A43A17" w:rsidRDefault="00C4411E" w:rsidP="00B870B3">
      <w:pPr>
        <w:spacing w:after="0" w:line="240" w:lineRule="auto"/>
        <w:rPr>
          <w:rFonts w:ascii="Arial" w:hAnsi="Arial" w:cs="Arial"/>
          <w:b/>
          <w:bCs/>
          <w:sz w:val="24"/>
          <w:szCs w:val="24"/>
        </w:rPr>
      </w:pPr>
      <w:r w:rsidRPr="00A43A17">
        <w:rPr>
          <w:rFonts w:ascii="Arial" w:hAnsi="Arial" w:cs="Arial"/>
          <w:b/>
          <w:sz w:val="24"/>
          <w:szCs w:val="24"/>
        </w:rPr>
        <w:t>AUTHORITY</w:t>
      </w:r>
    </w:p>
    <w:p w14:paraId="54B9CA9F" w14:textId="77777777" w:rsidR="00B870B3" w:rsidRPr="00A43A17" w:rsidRDefault="00B870B3" w:rsidP="00B870B3">
      <w:pPr>
        <w:spacing w:after="0" w:line="240" w:lineRule="auto"/>
        <w:jc w:val="both"/>
        <w:rPr>
          <w:rFonts w:ascii="Arial" w:hAnsi="Arial" w:cs="Arial"/>
          <w:sz w:val="24"/>
          <w:szCs w:val="24"/>
        </w:rPr>
      </w:pPr>
    </w:p>
    <w:p w14:paraId="5F0CCB30" w14:textId="05E1B9F6" w:rsidR="00020455" w:rsidRPr="00A43A17" w:rsidRDefault="000F3A32" w:rsidP="00B870B3">
      <w:pPr>
        <w:spacing w:after="0" w:line="240" w:lineRule="auto"/>
        <w:jc w:val="both"/>
        <w:rPr>
          <w:rFonts w:ascii="Arial" w:hAnsi="Arial" w:cs="Arial"/>
          <w:sz w:val="24"/>
          <w:szCs w:val="24"/>
        </w:rPr>
      </w:pPr>
      <w:r w:rsidRPr="00A43A17">
        <w:rPr>
          <w:rFonts w:ascii="Arial" w:hAnsi="Arial" w:cs="Arial"/>
          <w:sz w:val="24"/>
          <w:szCs w:val="24"/>
        </w:rPr>
        <w:t xml:space="preserve">The Committee is a committee of the Board comprised of </w:t>
      </w:r>
      <w:r w:rsidR="00461DEB" w:rsidRPr="00A43A17">
        <w:rPr>
          <w:rFonts w:ascii="Arial" w:hAnsi="Arial" w:cs="Arial"/>
          <w:sz w:val="24"/>
          <w:szCs w:val="24"/>
        </w:rPr>
        <w:t xml:space="preserve">independent non-executive directors and </w:t>
      </w:r>
      <w:r w:rsidRPr="00A43A17">
        <w:rPr>
          <w:rFonts w:ascii="Arial" w:hAnsi="Arial" w:cs="Arial"/>
          <w:sz w:val="24"/>
          <w:szCs w:val="24"/>
        </w:rPr>
        <w:t>executive directors and has no executive powers, other than those specified in these Terms of Reference or otherwise</w:t>
      </w:r>
      <w:r w:rsidR="00EF4561" w:rsidRPr="00A43A17">
        <w:rPr>
          <w:rFonts w:ascii="Arial" w:hAnsi="Arial" w:cs="Arial"/>
          <w:sz w:val="24"/>
          <w:szCs w:val="24"/>
        </w:rPr>
        <w:t xml:space="preserve"> delegated</w:t>
      </w:r>
      <w:r w:rsidRPr="00A43A17">
        <w:rPr>
          <w:rFonts w:ascii="Arial" w:hAnsi="Arial" w:cs="Arial"/>
          <w:sz w:val="24"/>
          <w:szCs w:val="24"/>
        </w:rPr>
        <w:t xml:space="preserve"> by the Board</w:t>
      </w:r>
      <w:r w:rsidR="001D36D5" w:rsidRPr="00A43A17">
        <w:rPr>
          <w:rFonts w:ascii="Arial" w:hAnsi="Arial" w:cs="Arial"/>
          <w:sz w:val="24"/>
          <w:szCs w:val="24"/>
        </w:rPr>
        <w:t xml:space="preserve"> through</w:t>
      </w:r>
      <w:r w:rsidRPr="00A43A17">
        <w:rPr>
          <w:rFonts w:ascii="Arial" w:hAnsi="Arial" w:cs="Arial"/>
          <w:sz w:val="24"/>
          <w:szCs w:val="24"/>
        </w:rPr>
        <w:t xml:space="preserve"> its Scheme of Delegation</w:t>
      </w:r>
      <w:r w:rsidR="001D36D5" w:rsidRPr="00A43A17">
        <w:rPr>
          <w:rFonts w:ascii="Arial" w:hAnsi="Arial" w:cs="Arial"/>
          <w:sz w:val="24"/>
          <w:szCs w:val="24"/>
        </w:rPr>
        <w:t xml:space="preserve"> and Standing Financial Instructions</w:t>
      </w:r>
      <w:r w:rsidRPr="00A43A17">
        <w:rPr>
          <w:rFonts w:ascii="Arial" w:hAnsi="Arial" w:cs="Arial"/>
          <w:sz w:val="24"/>
          <w:szCs w:val="24"/>
        </w:rPr>
        <w:t>.</w:t>
      </w:r>
      <w:r w:rsidR="00B46A03" w:rsidRPr="00A43A17">
        <w:rPr>
          <w:rFonts w:ascii="Arial" w:hAnsi="Arial" w:cs="Arial"/>
          <w:sz w:val="24"/>
          <w:szCs w:val="24"/>
        </w:rPr>
        <w:t xml:space="preserve"> </w:t>
      </w:r>
    </w:p>
    <w:p w14:paraId="29A6B456" w14:textId="77777777" w:rsidR="00B870B3" w:rsidRPr="00A43A17" w:rsidRDefault="00B870B3" w:rsidP="00B870B3">
      <w:pPr>
        <w:spacing w:after="0" w:line="240" w:lineRule="auto"/>
        <w:jc w:val="both"/>
        <w:rPr>
          <w:rFonts w:ascii="Arial" w:hAnsi="Arial" w:cs="Arial"/>
          <w:sz w:val="24"/>
          <w:szCs w:val="24"/>
        </w:rPr>
      </w:pPr>
    </w:p>
    <w:p w14:paraId="185405A6" w14:textId="585BB302" w:rsidR="00B46A03" w:rsidRPr="00A43A17" w:rsidRDefault="00B46A03" w:rsidP="00B870B3">
      <w:pPr>
        <w:spacing w:after="0" w:line="240" w:lineRule="auto"/>
        <w:jc w:val="both"/>
        <w:rPr>
          <w:rFonts w:ascii="Arial" w:hAnsi="Arial" w:cs="Arial"/>
          <w:sz w:val="24"/>
          <w:szCs w:val="24"/>
        </w:rPr>
      </w:pPr>
      <w:r w:rsidRPr="00A43A17">
        <w:rPr>
          <w:rFonts w:ascii="Arial" w:hAnsi="Arial" w:cs="Arial"/>
          <w:sz w:val="24"/>
          <w:szCs w:val="24"/>
        </w:rPr>
        <w:t xml:space="preserve">The </w:t>
      </w:r>
      <w:r w:rsidR="00B870B3" w:rsidRPr="00A43A17">
        <w:rPr>
          <w:rFonts w:ascii="Arial" w:hAnsi="Arial" w:cs="Arial"/>
          <w:sz w:val="24"/>
          <w:szCs w:val="24"/>
        </w:rPr>
        <w:t>C</w:t>
      </w:r>
      <w:r w:rsidRPr="00A43A17">
        <w:rPr>
          <w:rFonts w:ascii="Arial" w:hAnsi="Arial" w:cs="Arial"/>
          <w:sz w:val="24"/>
          <w:szCs w:val="24"/>
        </w:rPr>
        <w:t>ommittee is authorised by the Board to consider proposals and/or business cases that align with the Trust Strategy in accordance with the Trust’s Standing Financial Instructions and Scheme of Delegation.</w:t>
      </w:r>
    </w:p>
    <w:p w14:paraId="4BAC98A8" w14:textId="77777777" w:rsidR="00B870B3" w:rsidRPr="00A43A17" w:rsidRDefault="00B870B3" w:rsidP="00B870B3">
      <w:pPr>
        <w:spacing w:after="0" w:line="240" w:lineRule="auto"/>
        <w:jc w:val="both"/>
        <w:rPr>
          <w:rFonts w:ascii="Arial" w:hAnsi="Arial" w:cs="Arial"/>
          <w:sz w:val="24"/>
          <w:szCs w:val="24"/>
        </w:rPr>
      </w:pPr>
    </w:p>
    <w:p w14:paraId="3532DEE5" w14:textId="4318C0D5" w:rsidR="00020455" w:rsidRPr="00A43A17" w:rsidRDefault="000F3A32" w:rsidP="00B870B3">
      <w:pPr>
        <w:spacing w:after="0" w:line="240" w:lineRule="auto"/>
        <w:jc w:val="both"/>
        <w:rPr>
          <w:rFonts w:ascii="Arial" w:hAnsi="Arial" w:cs="Arial"/>
          <w:b/>
          <w:bCs/>
          <w:sz w:val="24"/>
          <w:szCs w:val="24"/>
        </w:rPr>
      </w:pPr>
      <w:r w:rsidRPr="00A43A17">
        <w:rPr>
          <w:rFonts w:ascii="Arial" w:hAnsi="Arial" w:cs="Arial"/>
          <w:sz w:val="24"/>
          <w:szCs w:val="24"/>
        </w:rPr>
        <w:lastRenderedPageBreak/>
        <w:t xml:space="preserve">The Committee is authorised by the Board to investigate any activity within its Terms of Reference. It is authorised to seek any information it requires from any Trust </w:t>
      </w:r>
      <w:r w:rsidR="00AF558F" w:rsidRPr="00A43A17">
        <w:rPr>
          <w:rFonts w:ascii="Arial" w:hAnsi="Arial" w:cs="Arial"/>
          <w:sz w:val="24"/>
          <w:szCs w:val="24"/>
        </w:rPr>
        <w:t>or G</w:t>
      </w:r>
      <w:r w:rsidR="00F12808" w:rsidRPr="00A43A17">
        <w:rPr>
          <w:rFonts w:ascii="Arial" w:hAnsi="Arial" w:cs="Arial"/>
          <w:sz w:val="24"/>
          <w:szCs w:val="24"/>
        </w:rPr>
        <w:t xml:space="preserve">loucestershire </w:t>
      </w:r>
      <w:r w:rsidR="00AF558F" w:rsidRPr="00A43A17">
        <w:rPr>
          <w:rFonts w:ascii="Arial" w:hAnsi="Arial" w:cs="Arial"/>
          <w:sz w:val="24"/>
          <w:szCs w:val="24"/>
        </w:rPr>
        <w:t>M</w:t>
      </w:r>
      <w:r w:rsidR="00F12808" w:rsidRPr="00A43A17">
        <w:rPr>
          <w:rFonts w:ascii="Arial" w:hAnsi="Arial" w:cs="Arial"/>
          <w:sz w:val="24"/>
          <w:szCs w:val="24"/>
        </w:rPr>
        <w:t xml:space="preserve">anaged </w:t>
      </w:r>
      <w:r w:rsidR="00AF558F" w:rsidRPr="00A43A17">
        <w:rPr>
          <w:rFonts w:ascii="Arial" w:hAnsi="Arial" w:cs="Arial"/>
          <w:sz w:val="24"/>
          <w:szCs w:val="24"/>
        </w:rPr>
        <w:t>S</w:t>
      </w:r>
      <w:r w:rsidR="00F12808" w:rsidRPr="00A43A17">
        <w:rPr>
          <w:rFonts w:ascii="Arial" w:hAnsi="Arial" w:cs="Arial"/>
          <w:sz w:val="24"/>
          <w:szCs w:val="24"/>
        </w:rPr>
        <w:t>ervices</w:t>
      </w:r>
      <w:r w:rsidR="00AF558F" w:rsidRPr="00A43A17">
        <w:rPr>
          <w:rFonts w:ascii="Arial" w:hAnsi="Arial" w:cs="Arial"/>
          <w:sz w:val="24"/>
          <w:szCs w:val="24"/>
        </w:rPr>
        <w:t xml:space="preserve"> </w:t>
      </w:r>
      <w:r w:rsidRPr="00A43A17">
        <w:rPr>
          <w:rFonts w:ascii="Arial" w:hAnsi="Arial" w:cs="Arial"/>
          <w:sz w:val="24"/>
          <w:szCs w:val="24"/>
        </w:rPr>
        <w:t>employee, and all employees</w:t>
      </w:r>
      <w:r w:rsidR="00692DAD">
        <w:rPr>
          <w:rFonts w:ascii="Arial" w:hAnsi="Arial" w:cs="Arial"/>
          <w:sz w:val="24"/>
          <w:szCs w:val="24"/>
        </w:rPr>
        <w:t>, of both the Trust and Gloucestershire Managed Services (including officers)</w:t>
      </w:r>
      <w:r w:rsidRPr="00A43A17">
        <w:rPr>
          <w:rFonts w:ascii="Arial" w:hAnsi="Arial" w:cs="Arial"/>
          <w:sz w:val="24"/>
          <w:szCs w:val="24"/>
        </w:rPr>
        <w:t xml:space="preserve"> are required to co-operate with any request by the Committee.</w:t>
      </w:r>
    </w:p>
    <w:p w14:paraId="5BF11EEF" w14:textId="77777777" w:rsidR="00B870B3" w:rsidRPr="00A43A17" w:rsidRDefault="00B870B3" w:rsidP="00B870B3">
      <w:pPr>
        <w:spacing w:after="0" w:line="240" w:lineRule="auto"/>
        <w:jc w:val="both"/>
        <w:rPr>
          <w:rFonts w:ascii="Arial" w:hAnsi="Arial" w:cs="Arial"/>
          <w:sz w:val="24"/>
          <w:szCs w:val="24"/>
        </w:rPr>
      </w:pPr>
    </w:p>
    <w:p w14:paraId="1F20AF55" w14:textId="3769410B" w:rsidR="00020455" w:rsidRPr="00A43A17" w:rsidRDefault="000F3A32" w:rsidP="00B870B3">
      <w:pPr>
        <w:spacing w:after="0" w:line="240" w:lineRule="auto"/>
        <w:jc w:val="both"/>
        <w:rPr>
          <w:rFonts w:ascii="Arial" w:hAnsi="Arial" w:cs="Arial"/>
          <w:sz w:val="24"/>
          <w:szCs w:val="24"/>
        </w:rPr>
      </w:pPr>
      <w:r w:rsidRPr="00A43A17">
        <w:rPr>
          <w:rFonts w:ascii="Arial" w:hAnsi="Arial" w:cs="Arial"/>
          <w:sz w:val="24"/>
          <w:szCs w:val="24"/>
        </w:rPr>
        <w:t>The Committee is authorised by the Board to obtain legal or other independent professional advice and to secure the attendance of persons with relevant experience and expertise from within or without the Trust as it considers necessary.</w:t>
      </w:r>
    </w:p>
    <w:p w14:paraId="66831DD4" w14:textId="77777777" w:rsidR="00CE4E6F" w:rsidRPr="00A43A17" w:rsidRDefault="00CE4E6F" w:rsidP="00B870B3">
      <w:pPr>
        <w:spacing w:after="0" w:line="240" w:lineRule="auto"/>
        <w:jc w:val="both"/>
        <w:rPr>
          <w:rFonts w:ascii="Arial" w:hAnsi="Arial" w:cs="Arial"/>
          <w:sz w:val="24"/>
          <w:szCs w:val="24"/>
        </w:rPr>
      </w:pPr>
    </w:p>
    <w:p w14:paraId="63DF7A7B" w14:textId="67C93DEA" w:rsidR="00CE4E6F" w:rsidRPr="00A43A17" w:rsidRDefault="00CE4E6F" w:rsidP="00B870B3">
      <w:pPr>
        <w:spacing w:after="0" w:line="240" w:lineRule="auto"/>
        <w:jc w:val="both"/>
        <w:rPr>
          <w:rFonts w:ascii="Arial" w:hAnsi="Arial" w:cs="Arial"/>
          <w:b/>
          <w:bCs/>
          <w:sz w:val="24"/>
          <w:szCs w:val="24"/>
        </w:rPr>
      </w:pPr>
      <w:r w:rsidRPr="00A43A17">
        <w:rPr>
          <w:rFonts w:ascii="Arial" w:hAnsi="Arial" w:cs="Arial"/>
          <w:sz w:val="24"/>
          <w:szCs w:val="24"/>
        </w:rPr>
        <w:t xml:space="preserve">The Committee will place formal reliance on the groups and forums reporting to it as the Trust’s primary executive forums responsible for the operational delivery of strategies and plans and for the management of associated delivery risks. </w:t>
      </w:r>
      <w:r w:rsidR="0065519B" w:rsidRPr="00A43A17">
        <w:rPr>
          <w:rFonts w:ascii="Arial" w:hAnsi="Arial" w:cs="Arial"/>
          <w:sz w:val="24"/>
          <w:szCs w:val="24"/>
        </w:rPr>
        <w:t>These groups will provide structured assurance to the Committee using the 4As format</w:t>
      </w:r>
      <w:r w:rsidR="004A4E48" w:rsidRPr="00A43A17">
        <w:rPr>
          <w:rFonts w:ascii="Arial" w:hAnsi="Arial" w:cs="Arial"/>
          <w:sz w:val="24"/>
          <w:szCs w:val="24"/>
        </w:rPr>
        <w:t>.</w:t>
      </w:r>
      <w:r w:rsidRPr="00A43A17">
        <w:rPr>
          <w:rFonts w:ascii="Arial" w:hAnsi="Arial" w:cs="Arial"/>
          <w:sz w:val="24"/>
          <w:szCs w:val="24"/>
        </w:rPr>
        <w:t xml:space="preserve"> </w:t>
      </w:r>
    </w:p>
    <w:p w14:paraId="49CBC3D6" w14:textId="77777777" w:rsidR="00B870B3" w:rsidRPr="00A43A17" w:rsidRDefault="00B870B3" w:rsidP="00B870B3">
      <w:pPr>
        <w:spacing w:after="0" w:line="240" w:lineRule="auto"/>
        <w:jc w:val="both"/>
        <w:rPr>
          <w:rFonts w:ascii="Arial" w:hAnsi="Arial" w:cs="Arial"/>
          <w:b/>
          <w:sz w:val="24"/>
          <w:szCs w:val="24"/>
        </w:rPr>
      </w:pPr>
    </w:p>
    <w:p w14:paraId="12DBEFE2" w14:textId="4C3C8BCB" w:rsidR="00020455" w:rsidRPr="00A43A17" w:rsidRDefault="00020455" w:rsidP="00B870B3">
      <w:pPr>
        <w:spacing w:after="0" w:line="240" w:lineRule="auto"/>
        <w:jc w:val="both"/>
        <w:rPr>
          <w:rFonts w:ascii="Arial" w:hAnsi="Arial" w:cs="Arial"/>
          <w:b/>
          <w:sz w:val="24"/>
          <w:szCs w:val="24"/>
        </w:rPr>
      </w:pPr>
      <w:r w:rsidRPr="00A43A17">
        <w:rPr>
          <w:rFonts w:ascii="Arial" w:hAnsi="Arial" w:cs="Arial"/>
          <w:b/>
          <w:sz w:val="24"/>
          <w:szCs w:val="24"/>
        </w:rPr>
        <w:t>DUTIES</w:t>
      </w:r>
    </w:p>
    <w:p w14:paraId="021E81BF" w14:textId="77777777" w:rsidR="00B870B3" w:rsidRPr="00A43A17" w:rsidRDefault="00B870B3" w:rsidP="00B870B3">
      <w:pPr>
        <w:spacing w:after="0" w:line="240" w:lineRule="auto"/>
        <w:jc w:val="both"/>
        <w:rPr>
          <w:rFonts w:ascii="Arial" w:hAnsi="Arial" w:cs="Arial"/>
          <w:sz w:val="24"/>
          <w:szCs w:val="24"/>
        </w:rPr>
      </w:pPr>
    </w:p>
    <w:p w14:paraId="378D5580" w14:textId="2D531969" w:rsidR="00020455" w:rsidRPr="00A43A17" w:rsidRDefault="00232194" w:rsidP="00B870B3">
      <w:pPr>
        <w:spacing w:after="0" w:line="240" w:lineRule="auto"/>
        <w:jc w:val="both"/>
        <w:rPr>
          <w:rFonts w:ascii="Arial" w:hAnsi="Arial" w:cs="Arial"/>
          <w:sz w:val="24"/>
          <w:szCs w:val="24"/>
        </w:rPr>
      </w:pPr>
      <w:r w:rsidRPr="00A43A17">
        <w:rPr>
          <w:rFonts w:ascii="Arial" w:hAnsi="Arial" w:cs="Arial"/>
          <w:sz w:val="24"/>
          <w:szCs w:val="24"/>
        </w:rPr>
        <w:t xml:space="preserve">The Committee will seek assurance on the effectiveness of systems for governance, risk management and internal control within its remit.  </w:t>
      </w:r>
      <w:r w:rsidR="00A43A17" w:rsidRPr="00A43A17">
        <w:rPr>
          <w:rFonts w:ascii="Arial" w:hAnsi="Arial" w:cs="Arial"/>
          <w:sz w:val="24"/>
          <w:szCs w:val="24"/>
        </w:rPr>
        <w:t>It</w:t>
      </w:r>
      <w:r w:rsidRPr="00A43A17">
        <w:rPr>
          <w:rFonts w:ascii="Arial" w:hAnsi="Arial" w:cs="Arial"/>
          <w:sz w:val="24"/>
          <w:szCs w:val="24"/>
        </w:rPr>
        <w:t xml:space="preserve"> will seek assurance on the following</w:t>
      </w:r>
      <w:r w:rsidR="00020455" w:rsidRPr="00A43A17">
        <w:rPr>
          <w:rFonts w:ascii="Arial" w:hAnsi="Arial" w:cs="Arial"/>
          <w:sz w:val="24"/>
          <w:szCs w:val="24"/>
        </w:rPr>
        <w:t>:</w:t>
      </w:r>
    </w:p>
    <w:p w14:paraId="073FBD7A" w14:textId="77777777" w:rsidR="00B870B3" w:rsidRPr="00A43A17" w:rsidRDefault="00B870B3" w:rsidP="00B870B3">
      <w:pPr>
        <w:spacing w:after="0" w:line="240" w:lineRule="auto"/>
        <w:jc w:val="both"/>
        <w:rPr>
          <w:rFonts w:ascii="Arial" w:hAnsi="Arial" w:cs="Arial"/>
          <w:b/>
          <w:sz w:val="24"/>
          <w:szCs w:val="24"/>
        </w:rPr>
      </w:pPr>
    </w:p>
    <w:tbl>
      <w:tblPr>
        <w:tblStyle w:val="TableGrid"/>
        <w:tblW w:w="5000" w:type="pct"/>
        <w:tblLook w:val="04A0" w:firstRow="1" w:lastRow="0" w:firstColumn="1" w:lastColumn="0" w:noHBand="0" w:noVBand="1"/>
      </w:tblPr>
      <w:tblGrid>
        <w:gridCol w:w="2484"/>
        <w:gridCol w:w="3221"/>
        <w:gridCol w:w="3311"/>
      </w:tblGrid>
      <w:tr w:rsidR="0071599C" w:rsidRPr="00A43A17" w14:paraId="7AC2C146" w14:textId="77777777" w:rsidTr="003A224B">
        <w:tc>
          <w:tcPr>
            <w:tcW w:w="1334" w:type="pct"/>
            <w:shd w:val="clear" w:color="auto" w:fill="DBE5F1" w:themeFill="accent1" w:themeFillTint="33"/>
          </w:tcPr>
          <w:p w14:paraId="2A057622" w14:textId="77777777" w:rsidR="00B870B3" w:rsidRPr="00A43A17" w:rsidRDefault="00B870B3" w:rsidP="00B870B3">
            <w:pPr>
              <w:rPr>
                <w:rFonts w:ascii="Arial" w:hAnsi="Arial" w:cs="Arial"/>
                <w:b/>
                <w:bCs/>
                <w:sz w:val="24"/>
                <w:szCs w:val="24"/>
              </w:rPr>
            </w:pPr>
            <w:r w:rsidRPr="00A43A17">
              <w:rPr>
                <w:rFonts w:ascii="Arial" w:hAnsi="Arial" w:cs="Arial"/>
                <w:b/>
                <w:bCs/>
                <w:sz w:val="24"/>
                <w:szCs w:val="24"/>
              </w:rPr>
              <w:t>Financial Strategy</w:t>
            </w:r>
          </w:p>
          <w:p w14:paraId="48192B08" w14:textId="47864CD1" w:rsidR="00B870B3" w:rsidRPr="00A43A17" w:rsidRDefault="00B30B7E" w:rsidP="00B870B3">
            <w:pPr>
              <w:rPr>
                <w:rFonts w:ascii="Arial" w:hAnsi="Arial" w:cs="Arial"/>
                <w:b/>
                <w:bCs/>
                <w:sz w:val="24"/>
                <w:szCs w:val="24"/>
              </w:rPr>
            </w:pPr>
            <w:r w:rsidRPr="00A43A17">
              <w:rPr>
                <w:rFonts w:ascii="Arial" w:hAnsi="Arial" w:cs="Arial"/>
                <w:b/>
                <w:bCs/>
                <w:sz w:val="24"/>
                <w:szCs w:val="24"/>
              </w:rPr>
              <w:t>The Committee will seek</w:t>
            </w:r>
            <w:r w:rsidR="00B870B3" w:rsidRPr="00A43A17">
              <w:rPr>
                <w:rFonts w:ascii="Arial" w:hAnsi="Arial" w:cs="Arial"/>
                <w:b/>
                <w:bCs/>
                <w:sz w:val="24"/>
                <w:szCs w:val="24"/>
              </w:rPr>
              <w:t xml:space="preserve"> assurance on:</w:t>
            </w:r>
          </w:p>
        </w:tc>
        <w:tc>
          <w:tcPr>
            <w:tcW w:w="1808" w:type="pct"/>
            <w:shd w:val="clear" w:color="auto" w:fill="DBE5F1" w:themeFill="accent1" w:themeFillTint="33"/>
          </w:tcPr>
          <w:p w14:paraId="4DAFF2CE" w14:textId="77777777" w:rsidR="00B870B3" w:rsidRPr="00A43A17" w:rsidRDefault="00B870B3" w:rsidP="00B870B3">
            <w:pPr>
              <w:rPr>
                <w:rFonts w:ascii="Arial" w:hAnsi="Arial" w:cs="Arial"/>
                <w:b/>
                <w:bCs/>
                <w:sz w:val="24"/>
                <w:szCs w:val="24"/>
              </w:rPr>
            </w:pPr>
            <w:r w:rsidRPr="00A43A17">
              <w:rPr>
                <w:rFonts w:ascii="Arial" w:hAnsi="Arial" w:cs="Arial"/>
                <w:b/>
                <w:bCs/>
                <w:sz w:val="24"/>
                <w:szCs w:val="24"/>
              </w:rPr>
              <w:t>Digital Strategy</w:t>
            </w:r>
          </w:p>
          <w:p w14:paraId="0894AB73" w14:textId="063DC4FF" w:rsidR="00B870B3" w:rsidRPr="00A43A17" w:rsidRDefault="00B30B7E" w:rsidP="00B870B3">
            <w:pPr>
              <w:rPr>
                <w:rFonts w:ascii="Arial" w:hAnsi="Arial" w:cs="Arial"/>
                <w:b/>
                <w:bCs/>
                <w:sz w:val="24"/>
                <w:szCs w:val="24"/>
              </w:rPr>
            </w:pPr>
            <w:r w:rsidRPr="00A43A17">
              <w:rPr>
                <w:rFonts w:ascii="Arial" w:hAnsi="Arial" w:cs="Arial"/>
                <w:b/>
                <w:bCs/>
                <w:sz w:val="24"/>
                <w:szCs w:val="24"/>
              </w:rPr>
              <w:t>The Committee will</w:t>
            </w:r>
            <w:r w:rsidR="0071599C" w:rsidRPr="00A43A17">
              <w:rPr>
                <w:rFonts w:ascii="Arial" w:hAnsi="Arial" w:cs="Arial"/>
                <w:b/>
                <w:bCs/>
                <w:sz w:val="24"/>
                <w:szCs w:val="24"/>
              </w:rPr>
              <w:t xml:space="preserve"> </w:t>
            </w:r>
            <w:r w:rsidRPr="00A43A17">
              <w:rPr>
                <w:rFonts w:ascii="Arial" w:hAnsi="Arial" w:cs="Arial"/>
                <w:b/>
                <w:bCs/>
                <w:sz w:val="24"/>
                <w:szCs w:val="24"/>
              </w:rPr>
              <w:t>seek</w:t>
            </w:r>
            <w:r w:rsidR="00B870B3" w:rsidRPr="00A43A17">
              <w:rPr>
                <w:rFonts w:ascii="Arial" w:hAnsi="Arial" w:cs="Arial"/>
                <w:b/>
                <w:bCs/>
                <w:sz w:val="24"/>
                <w:szCs w:val="24"/>
              </w:rPr>
              <w:t xml:space="preserve"> assurance on:</w:t>
            </w:r>
          </w:p>
        </w:tc>
        <w:tc>
          <w:tcPr>
            <w:tcW w:w="1858" w:type="pct"/>
            <w:shd w:val="clear" w:color="auto" w:fill="DBE5F1" w:themeFill="accent1" w:themeFillTint="33"/>
          </w:tcPr>
          <w:p w14:paraId="4A821093" w14:textId="15F7AAEE" w:rsidR="00B870B3" w:rsidRPr="00A43A17" w:rsidRDefault="00B870B3" w:rsidP="00B870B3">
            <w:pPr>
              <w:rPr>
                <w:rFonts w:ascii="Arial" w:hAnsi="Arial" w:cs="Arial"/>
                <w:b/>
                <w:bCs/>
                <w:sz w:val="24"/>
                <w:szCs w:val="24"/>
              </w:rPr>
            </w:pPr>
            <w:r w:rsidRPr="00A43A17">
              <w:rPr>
                <w:rFonts w:ascii="Arial" w:hAnsi="Arial" w:cs="Arial"/>
                <w:b/>
                <w:bCs/>
                <w:sz w:val="24"/>
                <w:szCs w:val="24"/>
              </w:rPr>
              <w:t>Estates and Facilities Strategy</w:t>
            </w:r>
            <w:r w:rsidR="00A43A17" w:rsidRPr="00A43A17">
              <w:rPr>
                <w:rFonts w:ascii="Arial" w:hAnsi="Arial" w:cs="Arial"/>
                <w:b/>
                <w:bCs/>
                <w:sz w:val="24"/>
                <w:szCs w:val="24"/>
              </w:rPr>
              <w:t xml:space="preserve">: </w:t>
            </w:r>
            <w:r w:rsidR="000D24E4" w:rsidRPr="00A43A17">
              <w:rPr>
                <w:rFonts w:ascii="Arial" w:hAnsi="Arial" w:cs="Arial"/>
                <w:b/>
                <w:bCs/>
                <w:sz w:val="24"/>
                <w:szCs w:val="24"/>
              </w:rPr>
              <w:t>T</w:t>
            </w:r>
            <w:r w:rsidR="00924FED" w:rsidRPr="00A43A17">
              <w:rPr>
                <w:rFonts w:ascii="Arial" w:hAnsi="Arial" w:cs="Arial"/>
                <w:b/>
                <w:bCs/>
                <w:sz w:val="24"/>
                <w:szCs w:val="24"/>
              </w:rPr>
              <w:t>he Committee will seek</w:t>
            </w:r>
            <w:r w:rsidR="00A43A17" w:rsidRPr="00A43A17">
              <w:rPr>
                <w:rFonts w:ascii="Arial" w:hAnsi="Arial" w:cs="Arial"/>
                <w:b/>
                <w:bCs/>
                <w:sz w:val="24"/>
                <w:szCs w:val="24"/>
              </w:rPr>
              <w:t xml:space="preserve"> </w:t>
            </w:r>
            <w:r w:rsidRPr="00A43A17">
              <w:rPr>
                <w:rFonts w:ascii="Arial" w:hAnsi="Arial" w:cs="Arial"/>
                <w:b/>
                <w:bCs/>
                <w:sz w:val="24"/>
                <w:szCs w:val="24"/>
              </w:rPr>
              <w:t>assurance on:</w:t>
            </w:r>
          </w:p>
        </w:tc>
      </w:tr>
      <w:tr w:rsidR="0071599C" w:rsidRPr="00A43A17" w14:paraId="666CA5EE" w14:textId="77777777" w:rsidTr="003A224B">
        <w:tc>
          <w:tcPr>
            <w:tcW w:w="1334" w:type="pct"/>
            <w:shd w:val="clear" w:color="auto" w:fill="DBE5F1" w:themeFill="accent1" w:themeFillTint="33"/>
          </w:tcPr>
          <w:p w14:paraId="655EAE39" w14:textId="1FF02446" w:rsidR="00685565" w:rsidRPr="00A43A17" w:rsidRDefault="00685565" w:rsidP="00B870B3">
            <w:pPr>
              <w:numPr>
                <w:ilvl w:val="0"/>
                <w:numId w:val="8"/>
              </w:numPr>
              <w:rPr>
                <w:rFonts w:ascii="Arial" w:hAnsi="Arial" w:cs="Arial"/>
                <w:sz w:val="24"/>
                <w:szCs w:val="24"/>
              </w:rPr>
            </w:pPr>
            <w:r w:rsidRPr="00A43A17">
              <w:rPr>
                <w:rFonts w:ascii="Arial" w:hAnsi="Arial" w:cs="Arial"/>
                <w:sz w:val="24"/>
                <w:szCs w:val="24"/>
              </w:rPr>
              <w:t>The credibility, alignment and coherence of short, medium and long-term financial plans</w:t>
            </w:r>
            <w:r w:rsidR="00274D84" w:rsidRPr="00A43A17">
              <w:rPr>
                <w:rFonts w:ascii="Arial" w:hAnsi="Arial" w:cs="Arial"/>
                <w:sz w:val="24"/>
                <w:szCs w:val="24"/>
              </w:rPr>
              <w:t xml:space="preserve"> (including operational planning and capital plans)</w:t>
            </w:r>
          </w:p>
          <w:p w14:paraId="5FE319EE" w14:textId="26FC65E0" w:rsidR="00685565" w:rsidRPr="00A43A17" w:rsidRDefault="00685565" w:rsidP="00B870B3">
            <w:pPr>
              <w:numPr>
                <w:ilvl w:val="0"/>
                <w:numId w:val="8"/>
              </w:numPr>
              <w:rPr>
                <w:rFonts w:ascii="Arial" w:hAnsi="Arial" w:cs="Arial"/>
                <w:sz w:val="24"/>
                <w:szCs w:val="24"/>
              </w:rPr>
            </w:pPr>
            <w:r w:rsidRPr="00A43A17">
              <w:rPr>
                <w:rFonts w:ascii="Arial" w:hAnsi="Arial" w:cs="Arial"/>
                <w:sz w:val="24"/>
                <w:szCs w:val="24"/>
              </w:rPr>
              <w:t xml:space="preserve">The effectiveness of executive oversight arrangements for the delivery of </w:t>
            </w:r>
            <w:r w:rsidR="00274D84" w:rsidRPr="00A43A17">
              <w:rPr>
                <w:rFonts w:ascii="Arial" w:hAnsi="Arial" w:cs="Arial"/>
                <w:sz w:val="24"/>
                <w:szCs w:val="24"/>
              </w:rPr>
              <w:t xml:space="preserve">agreed </w:t>
            </w:r>
            <w:r w:rsidRPr="00A43A17">
              <w:rPr>
                <w:rFonts w:ascii="Arial" w:hAnsi="Arial" w:cs="Arial"/>
                <w:sz w:val="24"/>
                <w:szCs w:val="24"/>
              </w:rPr>
              <w:t>plans</w:t>
            </w:r>
            <w:r w:rsidR="002B669A" w:rsidRPr="00A43A17">
              <w:rPr>
                <w:rFonts w:ascii="Arial" w:hAnsi="Arial" w:cs="Arial"/>
                <w:sz w:val="24"/>
                <w:szCs w:val="24"/>
              </w:rPr>
              <w:t>, including recovery actions where required</w:t>
            </w:r>
          </w:p>
          <w:p w14:paraId="27A68CF5" w14:textId="491ECF3B" w:rsidR="009D1D43" w:rsidRPr="00A43A17" w:rsidRDefault="009D1D43" w:rsidP="00B870B3">
            <w:pPr>
              <w:numPr>
                <w:ilvl w:val="0"/>
                <w:numId w:val="8"/>
              </w:numPr>
              <w:rPr>
                <w:rFonts w:ascii="Arial" w:hAnsi="Arial" w:cs="Arial"/>
                <w:sz w:val="24"/>
                <w:szCs w:val="24"/>
              </w:rPr>
            </w:pPr>
            <w:r w:rsidRPr="00A43A17">
              <w:rPr>
                <w:rFonts w:ascii="Arial" w:hAnsi="Arial" w:cs="Arial"/>
                <w:sz w:val="24"/>
                <w:szCs w:val="24"/>
              </w:rPr>
              <w:t xml:space="preserve">The robustness of </w:t>
            </w:r>
            <w:r w:rsidR="00F15185" w:rsidRPr="00A43A17">
              <w:rPr>
                <w:rFonts w:ascii="Arial" w:hAnsi="Arial" w:cs="Arial"/>
                <w:sz w:val="24"/>
                <w:szCs w:val="24"/>
              </w:rPr>
              <w:t xml:space="preserve">controls over cash, liquidity and financial governance, including forecasting and in </w:t>
            </w:r>
            <w:r w:rsidR="00F15185" w:rsidRPr="00A43A17">
              <w:rPr>
                <w:rFonts w:ascii="Arial" w:hAnsi="Arial" w:cs="Arial"/>
                <w:sz w:val="24"/>
                <w:szCs w:val="24"/>
              </w:rPr>
              <w:lastRenderedPageBreak/>
              <w:t>year grip on financial sustainability plans</w:t>
            </w:r>
          </w:p>
          <w:p w14:paraId="687F042D" w14:textId="2C9993B1" w:rsidR="00685565" w:rsidRPr="00A43A17" w:rsidRDefault="00685565" w:rsidP="00B870B3">
            <w:pPr>
              <w:numPr>
                <w:ilvl w:val="0"/>
                <w:numId w:val="8"/>
              </w:numPr>
              <w:rPr>
                <w:rFonts w:ascii="Arial" w:hAnsi="Arial" w:cs="Arial"/>
                <w:sz w:val="24"/>
                <w:szCs w:val="24"/>
              </w:rPr>
            </w:pPr>
            <w:r w:rsidRPr="00A43A17">
              <w:rPr>
                <w:rFonts w:ascii="Arial" w:hAnsi="Arial" w:cs="Arial"/>
                <w:sz w:val="24"/>
                <w:szCs w:val="24"/>
              </w:rPr>
              <w:t>The robustness of controls over cash, capital, liquidity and financial governance</w:t>
            </w:r>
          </w:p>
          <w:p w14:paraId="5BDC738B" w14:textId="2A891889" w:rsidR="00313B74" w:rsidRPr="00A43A17" w:rsidRDefault="00313B74" w:rsidP="00B870B3">
            <w:pPr>
              <w:numPr>
                <w:ilvl w:val="0"/>
                <w:numId w:val="8"/>
              </w:numPr>
              <w:rPr>
                <w:rFonts w:ascii="Arial" w:hAnsi="Arial" w:cs="Arial"/>
                <w:sz w:val="24"/>
                <w:szCs w:val="24"/>
              </w:rPr>
            </w:pPr>
            <w:r w:rsidRPr="00A43A17">
              <w:rPr>
                <w:rFonts w:ascii="Arial" w:hAnsi="Arial" w:cs="Arial"/>
                <w:sz w:val="24"/>
                <w:szCs w:val="24"/>
              </w:rPr>
              <w:t>Cash flow status</w:t>
            </w:r>
          </w:p>
          <w:p w14:paraId="4AEDB27D" w14:textId="559914D0" w:rsidR="00685565" w:rsidRPr="00A43A17" w:rsidRDefault="00685565" w:rsidP="00B870B3">
            <w:pPr>
              <w:numPr>
                <w:ilvl w:val="0"/>
                <w:numId w:val="8"/>
              </w:numPr>
              <w:rPr>
                <w:rFonts w:ascii="Arial" w:hAnsi="Arial" w:cs="Arial"/>
                <w:sz w:val="24"/>
                <w:szCs w:val="24"/>
              </w:rPr>
            </w:pPr>
            <w:r w:rsidRPr="00A43A17">
              <w:rPr>
                <w:rFonts w:ascii="Arial" w:hAnsi="Arial" w:cs="Arial"/>
                <w:sz w:val="24"/>
                <w:szCs w:val="24"/>
              </w:rPr>
              <w:t>Whether material financial risks are appropriately reflected in the BAF</w:t>
            </w:r>
            <w:r w:rsidR="00A82306" w:rsidRPr="00A43A17">
              <w:rPr>
                <w:rFonts w:ascii="Arial" w:hAnsi="Arial" w:cs="Arial"/>
                <w:sz w:val="24"/>
                <w:szCs w:val="24"/>
              </w:rPr>
              <w:t xml:space="preserve"> and corporate risk reporting</w:t>
            </w:r>
          </w:p>
          <w:p w14:paraId="79C0A4B9" w14:textId="77777777" w:rsidR="00A43A17" w:rsidRDefault="00685565" w:rsidP="00B870B3">
            <w:pPr>
              <w:numPr>
                <w:ilvl w:val="0"/>
                <w:numId w:val="8"/>
              </w:numPr>
              <w:rPr>
                <w:rFonts w:ascii="Arial" w:hAnsi="Arial" w:cs="Arial"/>
                <w:sz w:val="24"/>
                <w:szCs w:val="24"/>
              </w:rPr>
            </w:pPr>
            <w:r w:rsidRPr="00A43A17">
              <w:rPr>
                <w:rFonts w:ascii="Arial" w:hAnsi="Arial" w:cs="Arial"/>
                <w:sz w:val="24"/>
                <w:szCs w:val="24"/>
              </w:rPr>
              <w:t xml:space="preserve"> The adequacy of controls and mitigation where delivery risks or adverse variances are identified</w:t>
            </w:r>
            <w:r w:rsidR="008C4669" w:rsidRPr="00A43A17">
              <w:rPr>
                <w:rFonts w:ascii="Arial" w:hAnsi="Arial" w:cs="Arial"/>
                <w:sz w:val="24"/>
                <w:szCs w:val="24"/>
              </w:rPr>
              <w:t>, and appropriateness of escalation</w:t>
            </w:r>
          </w:p>
          <w:p w14:paraId="24B12FB5" w14:textId="3A235D57" w:rsidR="00313B74" w:rsidRPr="00A43A17" w:rsidRDefault="00313B74" w:rsidP="00B870B3">
            <w:pPr>
              <w:numPr>
                <w:ilvl w:val="0"/>
                <w:numId w:val="8"/>
              </w:numPr>
              <w:rPr>
                <w:rFonts w:ascii="Arial" w:hAnsi="Arial" w:cs="Arial"/>
                <w:sz w:val="24"/>
                <w:szCs w:val="24"/>
              </w:rPr>
            </w:pPr>
            <w:r w:rsidRPr="00A43A17">
              <w:rPr>
                <w:rFonts w:ascii="Arial" w:hAnsi="Arial" w:cs="Arial"/>
                <w:sz w:val="24"/>
                <w:szCs w:val="24"/>
              </w:rPr>
              <w:t>Sustainable service commissioning</w:t>
            </w:r>
          </w:p>
          <w:p w14:paraId="3C800626" w14:textId="0B1E93E1" w:rsidR="00313B74" w:rsidRPr="00A43A17" w:rsidRDefault="00DA25AF" w:rsidP="00B870B3">
            <w:pPr>
              <w:numPr>
                <w:ilvl w:val="0"/>
                <w:numId w:val="8"/>
              </w:numPr>
              <w:rPr>
                <w:rFonts w:ascii="Arial" w:hAnsi="Arial" w:cs="Arial"/>
                <w:sz w:val="24"/>
                <w:szCs w:val="24"/>
              </w:rPr>
            </w:pPr>
            <w:r w:rsidRPr="00A43A17">
              <w:rPr>
                <w:rFonts w:ascii="Arial" w:hAnsi="Arial" w:cs="Arial"/>
                <w:sz w:val="24"/>
                <w:szCs w:val="24"/>
              </w:rPr>
              <w:t>Overview of</w:t>
            </w:r>
            <w:r w:rsidR="00313B74" w:rsidRPr="00A43A17">
              <w:rPr>
                <w:rFonts w:ascii="Arial" w:hAnsi="Arial" w:cs="Arial"/>
                <w:sz w:val="24"/>
                <w:szCs w:val="24"/>
              </w:rPr>
              <w:t xml:space="preserve"> key contractual arrangements</w:t>
            </w:r>
            <w:r w:rsidR="0038785E" w:rsidRPr="00A43A17">
              <w:rPr>
                <w:rFonts w:ascii="Arial" w:hAnsi="Arial" w:cs="Arial"/>
                <w:sz w:val="24"/>
                <w:szCs w:val="24"/>
              </w:rPr>
              <w:t xml:space="preserve"> and service delivery agreements where these pose material financial or risk exposure</w:t>
            </w:r>
          </w:p>
          <w:p w14:paraId="0521AE30" w14:textId="6D96636F" w:rsidR="007E51A5" w:rsidRPr="00A43A17" w:rsidRDefault="007E51A5" w:rsidP="007E51A5">
            <w:pPr>
              <w:numPr>
                <w:ilvl w:val="0"/>
                <w:numId w:val="8"/>
              </w:numPr>
              <w:rPr>
                <w:rFonts w:ascii="Arial" w:hAnsi="Arial" w:cs="Arial"/>
                <w:sz w:val="24"/>
                <w:szCs w:val="24"/>
              </w:rPr>
            </w:pPr>
            <w:r w:rsidRPr="00A43A17">
              <w:rPr>
                <w:rFonts w:eastAsiaTheme="minorEastAsia"/>
              </w:rPr>
              <w:t xml:space="preserve"> </w:t>
            </w:r>
            <w:r w:rsidR="00712ACD" w:rsidRPr="00A43A17">
              <w:rPr>
                <w:rFonts w:ascii="Arial" w:hAnsi="Arial" w:cs="Arial"/>
                <w:sz w:val="24"/>
                <w:szCs w:val="24"/>
              </w:rPr>
              <w:t>The a</w:t>
            </w:r>
            <w:r w:rsidRPr="00A43A17">
              <w:rPr>
                <w:rFonts w:ascii="Arial" w:hAnsi="Arial" w:cs="Arial"/>
                <w:sz w:val="24"/>
                <w:szCs w:val="24"/>
              </w:rPr>
              <w:t>ppropriateness of key financial policies and Standing Financial Instructions; recommending changes to the Board where required</w:t>
            </w:r>
          </w:p>
          <w:p w14:paraId="7135517C" w14:textId="77777777" w:rsidR="00313B74" w:rsidRDefault="00313B74" w:rsidP="00B870B3">
            <w:pPr>
              <w:pStyle w:val="ListParagraph"/>
              <w:numPr>
                <w:ilvl w:val="0"/>
                <w:numId w:val="8"/>
              </w:numPr>
              <w:rPr>
                <w:rFonts w:ascii="Arial" w:hAnsi="Arial" w:cs="Arial"/>
                <w:sz w:val="24"/>
                <w:szCs w:val="24"/>
              </w:rPr>
            </w:pPr>
            <w:r w:rsidRPr="00A43A17">
              <w:rPr>
                <w:rFonts w:ascii="Arial" w:hAnsi="Arial" w:cs="Arial"/>
                <w:sz w:val="24"/>
                <w:szCs w:val="24"/>
              </w:rPr>
              <w:lastRenderedPageBreak/>
              <w:t>Any other relevant matters as referred by the Board.</w:t>
            </w:r>
          </w:p>
          <w:p w14:paraId="4415E4C5" w14:textId="1E32A1E3" w:rsidR="00F45C53" w:rsidRPr="00A43A17" w:rsidRDefault="00F45C53" w:rsidP="00B870B3">
            <w:pPr>
              <w:pStyle w:val="ListParagraph"/>
              <w:numPr>
                <w:ilvl w:val="0"/>
                <w:numId w:val="8"/>
              </w:numPr>
              <w:rPr>
                <w:rFonts w:ascii="Arial" w:hAnsi="Arial" w:cs="Arial"/>
                <w:sz w:val="24"/>
                <w:szCs w:val="24"/>
              </w:rPr>
            </w:pPr>
            <w:r>
              <w:rPr>
                <w:rFonts w:ascii="Arial" w:hAnsi="Arial" w:cs="Arial"/>
                <w:sz w:val="24"/>
                <w:szCs w:val="24"/>
              </w:rPr>
              <w:t>Oversight of relevant internal audit recommendations and follow-up actions</w:t>
            </w:r>
          </w:p>
        </w:tc>
        <w:tc>
          <w:tcPr>
            <w:tcW w:w="1808" w:type="pct"/>
            <w:shd w:val="clear" w:color="auto" w:fill="DBE5F1" w:themeFill="accent1" w:themeFillTint="33"/>
          </w:tcPr>
          <w:p w14:paraId="7F47C4D0" w14:textId="69082B80" w:rsidR="00447F27" w:rsidRPr="00A43A17" w:rsidRDefault="00924FED" w:rsidP="00B870B3">
            <w:pPr>
              <w:numPr>
                <w:ilvl w:val="0"/>
                <w:numId w:val="8"/>
              </w:numPr>
              <w:rPr>
                <w:rFonts w:ascii="Arial" w:hAnsi="Arial" w:cs="Arial"/>
                <w:sz w:val="24"/>
                <w:szCs w:val="24"/>
              </w:rPr>
            </w:pPr>
            <w:r w:rsidRPr="00A43A17">
              <w:rPr>
                <w:rFonts w:ascii="Arial" w:hAnsi="Arial" w:cs="Arial"/>
                <w:sz w:val="24"/>
                <w:szCs w:val="24"/>
              </w:rPr>
              <w:lastRenderedPageBreak/>
              <w:t>T</w:t>
            </w:r>
            <w:r w:rsidR="00B30B7E" w:rsidRPr="00A43A17">
              <w:rPr>
                <w:rFonts w:ascii="Arial" w:hAnsi="Arial" w:cs="Arial"/>
                <w:sz w:val="24"/>
                <w:szCs w:val="24"/>
              </w:rPr>
              <w:t>he effectiveness of arrangements for the development</w:t>
            </w:r>
            <w:r w:rsidRPr="00A43A17">
              <w:rPr>
                <w:rFonts w:ascii="Arial" w:hAnsi="Arial" w:cs="Arial"/>
                <w:sz w:val="24"/>
                <w:szCs w:val="24"/>
              </w:rPr>
              <w:t>, approval</w:t>
            </w:r>
            <w:r w:rsidR="00B30B7E" w:rsidRPr="00A43A17">
              <w:rPr>
                <w:rFonts w:ascii="Arial" w:hAnsi="Arial" w:cs="Arial"/>
                <w:sz w:val="24"/>
                <w:szCs w:val="24"/>
              </w:rPr>
              <w:t xml:space="preserve"> and delivery of</w:t>
            </w:r>
            <w:r w:rsidR="00447F27" w:rsidRPr="00A43A17">
              <w:rPr>
                <w:rFonts w:ascii="Arial" w:hAnsi="Arial" w:cs="Arial"/>
                <w:sz w:val="24"/>
                <w:szCs w:val="24"/>
              </w:rPr>
              <w:t xml:space="preserve"> the Trust’s Digital Strategy and </w:t>
            </w:r>
            <w:r w:rsidR="002F4355" w:rsidRPr="00A43A17">
              <w:rPr>
                <w:rFonts w:ascii="Arial" w:hAnsi="Arial" w:cs="Arial"/>
                <w:sz w:val="24"/>
                <w:szCs w:val="24"/>
              </w:rPr>
              <w:t>roadmap</w:t>
            </w:r>
            <w:r w:rsidR="00644C55" w:rsidRPr="00A43A17">
              <w:rPr>
                <w:rFonts w:ascii="Arial" w:hAnsi="Arial" w:cs="Arial"/>
                <w:sz w:val="24"/>
                <w:szCs w:val="24"/>
              </w:rPr>
              <w:t xml:space="preserve"> </w:t>
            </w:r>
            <w:r w:rsidR="00447F27" w:rsidRPr="00A43A17">
              <w:rPr>
                <w:rFonts w:ascii="Arial" w:hAnsi="Arial" w:cs="Arial"/>
                <w:sz w:val="24"/>
                <w:szCs w:val="24"/>
              </w:rPr>
              <w:t>aligned</w:t>
            </w:r>
            <w:r w:rsidR="00644C55" w:rsidRPr="00A43A17">
              <w:rPr>
                <w:rFonts w:ascii="Arial" w:hAnsi="Arial" w:cs="Arial"/>
                <w:sz w:val="24"/>
                <w:szCs w:val="24"/>
              </w:rPr>
              <w:t xml:space="preserve"> to Trust priorities</w:t>
            </w:r>
          </w:p>
          <w:p w14:paraId="7F565738" w14:textId="22EC53B8" w:rsidR="00447F27" w:rsidRPr="00A43A17" w:rsidRDefault="004D5A32" w:rsidP="00B870B3">
            <w:pPr>
              <w:numPr>
                <w:ilvl w:val="0"/>
                <w:numId w:val="8"/>
              </w:numPr>
              <w:rPr>
                <w:rFonts w:ascii="Arial" w:hAnsi="Arial" w:cs="Arial"/>
                <w:sz w:val="24"/>
                <w:szCs w:val="24"/>
              </w:rPr>
            </w:pPr>
            <w:r w:rsidRPr="00A43A17">
              <w:rPr>
                <w:rFonts w:ascii="Arial" w:hAnsi="Arial" w:cs="Arial"/>
                <w:sz w:val="24"/>
                <w:szCs w:val="24"/>
              </w:rPr>
              <w:t xml:space="preserve">The effectiveness of </w:t>
            </w:r>
            <w:r w:rsidR="007870D1" w:rsidRPr="00A43A17">
              <w:rPr>
                <w:rFonts w:ascii="Arial" w:hAnsi="Arial" w:cs="Arial"/>
                <w:sz w:val="24"/>
                <w:szCs w:val="24"/>
              </w:rPr>
              <w:t>prioritisation, resourcing and dependency management across digital programmes</w:t>
            </w:r>
          </w:p>
          <w:p w14:paraId="47C6AFD1" w14:textId="77777777" w:rsidR="0025703A" w:rsidRPr="00A43A17" w:rsidRDefault="0025703A" w:rsidP="0025703A">
            <w:pPr>
              <w:numPr>
                <w:ilvl w:val="0"/>
                <w:numId w:val="8"/>
              </w:numPr>
              <w:tabs>
                <w:tab w:val="num" w:pos="360"/>
              </w:tabs>
              <w:rPr>
                <w:rFonts w:ascii="Arial" w:hAnsi="Arial" w:cs="Arial"/>
                <w:sz w:val="24"/>
                <w:szCs w:val="24"/>
              </w:rPr>
            </w:pPr>
            <w:r w:rsidRPr="00A43A17">
              <w:rPr>
                <w:rFonts w:ascii="Arial" w:hAnsi="Arial" w:cs="Arial"/>
                <w:sz w:val="24"/>
                <w:szCs w:val="24"/>
              </w:rPr>
              <w:t>investment discipline: affordability, value for money and benefits realisation for major digital programmes</w:t>
            </w:r>
          </w:p>
          <w:p w14:paraId="74F3BAC2" w14:textId="56ED7B7E" w:rsidR="001B7313" w:rsidRPr="00A43A17" w:rsidRDefault="00805A4D" w:rsidP="001B7313">
            <w:pPr>
              <w:numPr>
                <w:ilvl w:val="0"/>
                <w:numId w:val="8"/>
              </w:numPr>
              <w:rPr>
                <w:rFonts w:ascii="Arial" w:hAnsi="Arial" w:cs="Arial"/>
                <w:sz w:val="24"/>
                <w:szCs w:val="24"/>
              </w:rPr>
            </w:pPr>
            <w:r w:rsidRPr="00A43A17">
              <w:rPr>
                <w:rFonts w:ascii="Arial" w:hAnsi="Arial" w:cs="Arial"/>
                <w:sz w:val="24"/>
                <w:szCs w:val="24"/>
              </w:rPr>
              <w:t xml:space="preserve"> </w:t>
            </w:r>
            <w:r w:rsidR="001B7313" w:rsidRPr="00A43A17">
              <w:rPr>
                <w:rFonts w:ascii="Arial" w:hAnsi="Arial" w:cs="Arial"/>
                <w:sz w:val="24"/>
                <w:szCs w:val="24"/>
              </w:rPr>
              <w:t>The management of digital risk including cyber security, system resilience, interoperability and digital safety; and escalation of significant incidents</w:t>
            </w:r>
          </w:p>
          <w:p w14:paraId="3C08E96E" w14:textId="42C8C59A" w:rsidR="00805A4D" w:rsidRPr="00A43A17" w:rsidRDefault="00805A4D" w:rsidP="00805A4D">
            <w:pPr>
              <w:numPr>
                <w:ilvl w:val="0"/>
                <w:numId w:val="8"/>
              </w:numPr>
              <w:rPr>
                <w:rFonts w:ascii="Arial" w:hAnsi="Arial" w:cs="Arial"/>
                <w:sz w:val="24"/>
                <w:szCs w:val="24"/>
              </w:rPr>
            </w:pPr>
            <w:r w:rsidRPr="00A43A17">
              <w:rPr>
                <w:rFonts w:ascii="Arial" w:hAnsi="Arial" w:cs="Arial"/>
                <w:sz w:val="24"/>
                <w:szCs w:val="24"/>
              </w:rPr>
              <w:lastRenderedPageBreak/>
              <w:t xml:space="preserve">Assurance that the Trust’s digital infrastructure </w:t>
            </w:r>
            <w:r w:rsidR="00337B76" w:rsidRPr="00A43A17">
              <w:rPr>
                <w:rFonts w:ascii="Arial" w:hAnsi="Arial" w:cs="Arial"/>
                <w:sz w:val="24"/>
                <w:szCs w:val="24"/>
              </w:rPr>
              <w:t>and services are</w:t>
            </w:r>
            <w:r w:rsidRPr="00A43A17">
              <w:rPr>
                <w:rFonts w:ascii="Arial" w:hAnsi="Arial" w:cs="Arial"/>
                <w:sz w:val="24"/>
                <w:szCs w:val="24"/>
              </w:rPr>
              <w:t xml:space="preserve"> fit for purpose, resilient, and scalable</w:t>
            </w:r>
          </w:p>
          <w:p w14:paraId="0ED32BBF" w14:textId="77777777" w:rsidR="00447F27" w:rsidRDefault="00447F27" w:rsidP="00B870B3">
            <w:pPr>
              <w:numPr>
                <w:ilvl w:val="0"/>
                <w:numId w:val="8"/>
              </w:numPr>
              <w:rPr>
                <w:rFonts w:ascii="Arial" w:hAnsi="Arial" w:cs="Arial"/>
                <w:sz w:val="24"/>
                <w:szCs w:val="24"/>
              </w:rPr>
            </w:pPr>
            <w:r w:rsidRPr="00A43A17">
              <w:rPr>
                <w:rFonts w:ascii="Arial" w:hAnsi="Arial" w:cs="Arial"/>
                <w:sz w:val="24"/>
                <w:szCs w:val="24"/>
              </w:rPr>
              <w:t>That digital implementation and support structures are properly resourced, are embedded throughout the organisation and appropriately involve users and other stakeholders.</w:t>
            </w:r>
          </w:p>
          <w:p w14:paraId="4027193F" w14:textId="37004E0B" w:rsidR="00F45C53" w:rsidRPr="00A43A17" w:rsidRDefault="00F45C53" w:rsidP="00B870B3">
            <w:pPr>
              <w:numPr>
                <w:ilvl w:val="0"/>
                <w:numId w:val="8"/>
              </w:numPr>
              <w:rPr>
                <w:rFonts w:ascii="Arial" w:hAnsi="Arial" w:cs="Arial"/>
                <w:sz w:val="24"/>
                <w:szCs w:val="24"/>
              </w:rPr>
            </w:pPr>
            <w:r>
              <w:rPr>
                <w:rFonts w:ascii="Arial" w:hAnsi="Arial" w:cs="Arial"/>
                <w:sz w:val="24"/>
                <w:szCs w:val="24"/>
              </w:rPr>
              <w:t>Oversight of relevant internal audit recommendations and follow-up actions</w:t>
            </w:r>
          </w:p>
          <w:p w14:paraId="16F6282B" w14:textId="79CC88BE" w:rsidR="00447F27" w:rsidRPr="00A43A17" w:rsidRDefault="00447F27" w:rsidP="00B870B3">
            <w:pPr>
              <w:numPr>
                <w:ilvl w:val="0"/>
                <w:numId w:val="8"/>
              </w:numPr>
              <w:rPr>
                <w:rFonts w:ascii="Arial" w:hAnsi="Arial" w:cs="Arial"/>
                <w:sz w:val="24"/>
                <w:szCs w:val="24"/>
              </w:rPr>
            </w:pPr>
            <w:r w:rsidRPr="00A43A17">
              <w:rPr>
                <w:rFonts w:ascii="Arial" w:hAnsi="Arial" w:cs="Arial"/>
                <w:sz w:val="24"/>
                <w:szCs w:val="24"/>
              </w:rPr>
              <w:t>Any other relevant matters as referred by the Board.</w:t>
            </w:r>
          </w:p>
        </w:tc>
        <w:tc>
          <w:tcPr>
            <w:tcW w:w="1858" w:type="pct"/>
            <w:shd w:val="clear" w:color="auto" w:fill="DBE5F1" w:themeFill="accent1" w:themeFillTint="33"/>
          </w:tcPr>
          <w:p w14:paraId="5C71C904" w14:textId="5965210F" w:rsidR="00924FED" w:rsidRPr="00A43A17" w:rsidRDefault="00924FED"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lastRenderedPageBreak/>
              <w:t>T</w:t>
            </w:r>
            <w:r w:rsidR="00B30B7E" w:rsidRPr="00A43A17">
              <w:rPr>
                <w:rFonts w:ascii="Arial" w:hAnsi="Arial" w:cs="Arial"/>
                <w:bCs/>
                <w:sz w:val="24"/>
                <w:szCs w:val="24"/>
              </w:rPr>
              <w:t>he effectiveness of arrangements for the development</w:t>
            </w:r>
            <w:r w:rsidRPr="00A43A17">
              <w:rPr>
                <w:rFonts w:ascii="Arial" w:hAnsi="Arial" w:cs="Arial"/>
                <w:bCs/>
                <w:sz w:val="24"/>
                <w:szCs w:val="24"/>
              </w:rPr>
              <w:t>, approval</w:t>
            </w:r>
            <w:r w:rsidR="00B30B7E" w:rsidRPr="00A43A17">
              <w:rPr>
                <w:rFonts w:ascii="Arial" w:hAnsi="Arial" w:cs="Arial"/>
                <w:bCs/>
                <w:sz w:val="24"/>
                <w:szCs w:val="24"/>
              </w:rPr>
              <w:t xml:space="preserve"> and</w:t>
            </w:r>
            <w:r w:rsidR="00275957" w:rsidRPr="00A43A17">
              <w:rPr>
                <w:rFonts w:ascii="Arial" w:hAnsi="Arial" w:cs="Arial"/>
                <w:bCs/>
                <w:sz w:val="24"/>
                <w:szCs w:val="24"/>
              </w:rPr>
              <w:t xml:space="preserve"> delivery of the Estates strategy </w:t>
            </w:r>
            <w:r w:rsidR="00AF3DED" w:rsidRPr="00A43A17">
              <w:rPr>
                <w:rFonts w:ascii="Arial" w:hAnsi="Arial" w:cs="Arial"/>
                <w:bCs/>
                <w:sz w:val="24"/>
                <w:szCs w:val="24"/>
              </w:rPr>
              <w:t>aligne</w:t>
            </w:r>
            <w:r w:rsidR="000F18B4" w:rsidRPr="00A43A17">
              <w:rPr>
                <w:rFonts w:ascii="Arial" w:hAnsi="Arial" w:cs="Arial"/>
                <w:bCs/>
                <w:sz w:val="24"/>
                <w:szCs w:val="24"/>
              </w:rPr>
              <w:t>d to</w:t>
            </w:r>
            <w:r w:rsidRPr="00A43A17">
              <w:rPr>
                <w:rFonts w:ascii="Arial" w:hAnsi="Arial" w:cs="Arial"/>
                <w:bCs/>
                <w:sz w:val="24"/>
                <w:szCs w:val="24"/>
              </w:rPr>
              <w:t xml:space="preserve"> clinical, workforce and financial strategies.</w:t>
            </w:r>
          </w:p>
          <w:p w14:paraId="60D04DA9" w14:textId="3F7BF91D" w:rsidR="00924FED" w:rsidRPr="00A43A17" w:rsidRDefault="00924FED"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 xml:space="preserve">The scale, risk profile and management of backlog maintenance, including </w:t>
            </w:r>
            <w:r w:rsidR="000F18B4" w:rsidRPr="00A43A17">
              <w:rPr>
                <w:rFonts w:ascii="Arial" w:hAnsi="Arial" w:cs="Arial"/>
                <w:bCs/>
                <w:sz w:val="24"/>
                <w:szCs w:val="24"/>
              </w:rPr>
              <w:t xml:space="preserve">trajectory and alignment to </w:t>
            </w:r>
            <w:r w:rsidRPr="00A43A17">
              <w:rPr>
                <w:rFonts w:ascii="Arial" w:hAnsi="Arial" w:cs="Arial"/>
                <w:bCs/>
                <w:sz w:val="24"/>
                <w:szCs w:val="24"/>
              </w:rPr>
              <w:t>the Board’s</w:t>
            </w:r>
            <w:r w:rsidR="00F67209" w:rsidRPr="00A43A17">
              <w:rPr>
                <w:rFonts w:ascii="Arial" w:hAnsi="Arial" w:cs="Arial"/>
                <w:bCs/>
                <w:sz w:val="24"/>
                <w:szCs w:val="24"/>
              </w:rPr>
              <w:t xml:space="preserve"> </w:t>
            </w:r>
            <w:r w:rsidRPr="00A43A17">
              <w:rPr>
                <w:rFonts w:ascii="Arial" w:hAnsi="Arial" w:cs="Arial"/>
                <w:bCs/>
                <w:sz w:val="24"/>
                <w:szCs w:val="24"/>
              </w:rPr>
              <w:t>risk appetite</w:t>
            </w:r>
          </w:p>
          <w:p w14:paraId="0D9BD37A" w14:textId="77777777" w:rsidR="00924FED" w:rsidRPr="00A43A17" w:rsidRDefault="00924FED"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The effectiveness of processes for the prioritisation and oversight of capital investment, including affordability, deliverability and benefits realisation</w:t>
            </w:r>
          </w:p>
          <w:p w14:paraId="010103BF" w14:textId="77777777" w:rsidR="004D5A32" w:rsidRPr="00A43A17" w:rsidRDefault="00924FED"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The identification mitigation and escalation of estates related risks, including resilience, sustainability and infrastructure failure.</w:t>
            </w:r>
          </w:p>
          <w:p w14:paraId="6EC6AE37" w14:textId="6E7C5067" w:rsidR="00275957" w:rsidRPr="00A43A17" w:rsidRDefault="004D5A32"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lastRenderedPageBreak/>
              <w:t>The effectiveness of arrangements governing the interface between the Trust and GMS including assurance over contractual performance, service quality and risk.</w:t>
            </w:r>
          </w:p>
          <w:p w14:paraId="173B97D4" w14:textId="47A7D7A6" w:rsidR="00571C93" w:rsidRPr="00A43A17" w:rsidRDefault="00275957" w:rsidP="00571C9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w:t>
            </w:r>
            <w:r w:rsidR="004D5A32" w:rsidRPr="00A43A17">
              <w:rPr>
                <w:rFonts w:ascii="Arial" w:hAnsi="Arial" w:cs="Arial"/>
                <w:bCs/>
                <w:sz w:val="24"/>
                <w:szCs w:val="24"/>
              </w:rPr>
              <w:t xml:space="preserve"> </w:t>
            </w:r>
            <w:r w:rsidR="00571C93" w:rsidRPr="00A43A17">
              <w:rPr>
                <w:rFonts w:ascii="Arial" w:hAnsi="Arial" w:cs="Arial"/>
                <w:bCs/>
                <w:sz w:val="24"/>
                <w:szCs w:val="24"/>
              </w:rPr>
              <w:t xml:space="preserve">Assurance (not operational direction) that GMS is delivering its </w:t>
            </w:r>
            <w:r w:rsidR="00692DAD">
              <w:rPr>
                <w:rFonts w:ascii="Arial" w:hAnsi="Arial" w:cs="Arial"/>
                <w:bCs/>
                <w:sz w:val="24"/>
                <w:szCs w:val="24"/>
              </w:rPr>
              <w:t xml:space="preserve">strategic plan, </w:t>
            </w:r>
            <w:r w:rsidR="00571C93" w:rsidRPr="00A43A17">
              <w:rPr>
                <w:rFonts w:ascii="Arial" w:hAnsi="Arial" w:cs="Arial"/>
                <w:bCs/>
                <w:sz w:val="24"/>
                <w:szCs w:val="24"/>
              </w:rPr>
              <w:t>approved annual business plan and contractual commitments within agreed resources and tolerances, with material issues escalated via agreed governance routes</w:t>
            </w:r>
          </w:p>
          <w:p w14:paraId="7BB4F405" w14:textId="6EC2082A" w:rsidR="00692DAD" w:rsidRDefault="00692DAD" w:rsidP="00B870B3">
            <w:pPr>
              <w:pStyle w:val="ListParagraph"/>
              <w:numPr>
                <w:ilvl w:val="0"/>
                <w:numId w:val="23"/>
              </w:numPr>
              <w:ind w:left="259" w:hanging="259"/>
              <w:rPr>
                <w:rFonts w:ascii="Arial" w:hAnsi="Arial" w:cs="Arial"/>
                <w:bCs/>
                <w:sz w:val="24"/>
                <w:szCs w:val="24"/>
              </w:rPr>
            </w:pPr>
            <w:r>
              <w:rPr>
                <w:rFonts w:ascii="Arial" w:hAnsi="Arial" w:cs="Arial"/>
                <w:bCs/>
                <w:sz w:val="24"/>
                <w:szCs w:val="24"/>
              </w:rPr>
              <w:t xml:space="preserve">Assurance as to the Trust’s sustainability agenda, including Green Plan. </w:t>
            </w:r>
          </w:p>
          <w:p w14:paraId="63F0C0B8" w14:textId="25D872B3" w:rsidR="00274883" w:rsidRDefault="001F1B4E"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Assurance over</w:t>
            </w:r>
            <w:r w:rsidR="00407027" w:rsidRPr="00A43A17">
              <w:rPr>
                <w:rFonts w:ascii="Arial" w:hAnsi="Arial" w:cs="Arial"/>
                <w:bCs/>
                <w:sz w:val="24"/>
                <w:szCs w:val="24"/>
              </w:rPr>
              <w:t xml:space="preserve"> fulfilment of the Trust’s corporate services provided to GMS </w:t>
            </w:r>
            <w:r w:rsidR="000A6E5C" w:rsidRPr="00A43A17">
              <w:rPr>
                <w:rFonts w:ascii="Arial" w:hAnsi="Arial" w:cs="Arial"/>
                <w:bCs/>
                <w:sz w:val="24"/>
                <w:szCs w:val="24"/>
              </w:rPr>
              <w:t>under SLA agreements</w:t>
            </w:r>
            <w:r w:rsidR="00FD72D9" w:rsidRPr="00A43A17">
              <w:rPr>
                <w:rFonts w:ascii="Arial" w:hAnsi="Arial" w:cs="Arial"/>
                <w:bCs/>
                <w:sz w:val="24"/>
                <w:szCs w:val="24"/>
              </w:rPr>
              <w:t xml:space="preserve"> </w:t>
            </w:r>
            <w:proofErr w:type="gramStart"/>
            <w:r w:rsidR="00FD72D9" w:rsidRPr="00A43A17">
              <w:rPr>
                <w:rFonts w:ascii="Arial" w:hAnsi="Arial" w:cs="Arial"/>
                <w:bCs/>
                <w:sz w:val="24"/>
                <w:szCs w:val="24"/>
              </w:rPr>
              <w:t>where</w:t>
            </w:r>
            <w:proofErr w:type="gramEnd"/>
            <w:r w:rsidR="00FD72D9" w:rsidRPr="00A43A17">
              <w:rPr>
                <w:rFonts w:ascii="Arial" w:hAnsi="Arial" w:cs="Arial"/>
                <w:bCs/>
                <w:sz w:val="24"/>
                <w:szCs w:val="24"/>
              </w:rPr>
              <w:t xml:space="preserve"> material</w:t>
            </w:r>
          </w:p>
          <w:p w14:paraId="30A869B8" w14:textId="47EC7A61" w:rsidR="00F45C53" w:rsidRPr="00A43A17" w:rsidRDefault="00F45C53" w:rsidP="00B870B3">
            <w:pPr>
              <w:pStyle w:val="ListParagraph"/>
              <w:numPr>
                <w:ilvl w:val="0"/>
                <w:numId w:val="23"/>
              </w:numPr>
              <w:ind w:left="259" w:hanging="259"/>
              <w:rPr>
                <w:rFonts w:ascii="Arial" w:hAnsi="Arial" w:cs="Arial"/>
                <w:bCs/>
                <w:sz w:val="24"/>
                <w:szCs w:val="24"/>
              </w:rPr>
            </w:pPr>
            <w:r>
              <w:rPr>
                <w:rFonts w:ascii="Arial" w:hAnsi="Arial" w:cs="Arial"/>
                <w:sz w:val="24"/>
                <w:szCs w:val="24"/>
              </w:rPr>
              <w:t>Oversight of relevant internal audit recommendations and follow-up actions</w:t>
            </w:r>
          </w:p>
          <w:p w14:paraId="6D679AE4" w14:textId="62608B2D" w:rsidR="00275957" w:rsidRPr="00A43A17" w:rsidRDefault="00275957" w:rsidP="00B870B3">
            <w:pPr>
              <w:pStyle w:val="ListParagraph"/>
              <w:numPr>
                <w:ilvl w:val="0"/>
                <w:numId w:val="23"/>
              </w:numPr>
              <w:ind w:left="259" w:hanging="259"/>
              <w:rPr>
                <w:rFonts w:ascii="Arial" w:hAnsi="Arial" w:cs="Arial"/>
                <w:bCs/>
                <w:sz w:val="24"/>
                <w:szCs w:val="24"/>
              </w:rPr>
            </w:pPr>
            <w:r w:rsidRPr="00A43A17">
              <w:rPr>
                <w:rFonts w:ascii="Arial" w:hAnsi="Arial" w:cs="Arial"/>
                <w:bCs/>
                <w:sz w:val="24"/>
                <w:szCs w:val="24"/>
              </w:rPr>
              <w:t>Any other business relevant to the Reserved Matters of the subsidiary company.</w:t>
            </w:r>
          </w:p>
          <w:p w14:paraId="64A49483" w14:textId="77777777" w:rsidR="00275957" w:rsidRPr="00A43A17" w:rsidRDefault="00275957" w:rsidP="00B870B3">
            <w:pPr>
              <w:rPr>
                <w:rFonts w:ascii="Arial" w:hAnsi="Arial" w:cs="Arial"/>
                <w:bCs/>
                <w:sz w:val="24"/>
                <w:szCs w:val="24"/>
              </w:rPr>
            </w:pPr>
          </w:p>
          <w:p w14:paraId="7C6FC1D9" w14:textId="02EBA84E" w:rsidR="00275957" w:rsidRPr="00A43A17" w:rsidRDefault="00275957" w:rsidP="00B870B3">
            <w:pPr>
              <w:rPr>
                <w:rFonts w:ascii="Arial" w:hAnsi="Arial" w:cs="Arial"/>
                <w:b/>
                <w:bCs/>
                <w:sz w:val="24"/>
                <w:szCs w:val="24"/>
              </w:rPr>
            </w:pPr>
          </w:p>
        </w:tc>
      </w:tr>
    </w:tbl>
    <w:p w14:paraId="563BE415" w14:textId="77777777" w:rsidR="00B870B3" w:rsidRPr="00A43A17" w:rsidRDefault="00B870B3" w:rsidP="00B870B3">
      <w:pPr>
        <w:spacing w:after="0" w:line="240" w:lineRule="auto"/>
        <w:rPr>
          <w:rFonts w:ascii="Arial" w:hAnsi="Arial" w:cs="Arial"/>
          <w:b/>
          <w:sz w:val="24"/>
          <w:szCs w:val="24"/>
        </w:rPr>
      </w:pPr>
    </w:p>
    <w:p w14:paraId="32AE8109" w14:textId="52A9EE97" w:rsidR="00AA75F6"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MEM</w:t>
      </w:r>
      <w:r w:rsidR="00A76EB2" w:rsidRPr="00A43A17">
        <w:rPr>
          <w:rFonts w:ascii="Arial" w:hAnsi="Arial" w:cs="Arial"/>
          <w:b/>
          <w:sz w:val="24"/>
          <w:szCs w:val="24"/>
        </w:rPr>
        <w:t>B</w:t>
      </w:r>
      <w:r w:rsidRPr="00A43A17">
        <w:rPr>
          <w:rFonts w:ascii="Arial" w:hAnsi="Arial" w:cs="Arial"/>
          <w:b/>
          <w:sz w:val="24"/>
          <w:szCs w:val="24"/>
        </w:rPr>
        <w:t>ERSHIP</w:t>
      </w:r>
    </w:p>
    <w:p w14:paraId="5C330573" w14:textId="23057EC3" w:rsidR="00B870B3" w:rsidRPr="00A43A17" w:rsidRDefault="00B870B3" w:rsidP="00B870B3">
      <w:pPr>
        <w:spacing w:after="0" w:line="240" w:lineRule="auto"/>
        <w:rPr>
          <w:rFonts w:ascii="Arial" w:hAnsi="Arial" w:cs="Arial"/>
          <w:b/>
          <w:sz w:val="24"/>
          <w:szCs w:val="24"/>
        </w:rPr>
      </w:pPr>
    </w:p>
    <w:p w14:paraId="7B5A9982" w14:textId="322581B8" w:rsidR="00B870B3" w:rsidRPr="00A43A17" w:rsidRDefault="00B870B3" w:rsidP="005E66B0">
      <w:pPr>
        <w:pStyle w:val="ListParagraph"/>
        <w:numPr>
          <w:ilvl w:val="0"/>
          <w:numId w:val="20"/>
        </w:numPr>
        <w:spacing w:after="0" w:line="240" w:lineRule="auto"/>
        <w:ind w:left="357" w:hanging="357"/>
        <w:rPr>
          <w:rFonts w:ascii="Arial" w:hAnsi="Arial" w:cs="Arial"/>
          <w:b/>
          <w:sz w:val="24"/>
          <w:szCs w:val="24"/>
        </w:rPr>
      </w:pPr>
      <w:r w:rsidRPr="00A43A17">
        <w:rPr>
          <w:rFonts w:ascii="Arial" w:hAnsi="Arial" w:cs="Arial"/>
          <w:sz w:val="24"/>
          <w:szCs w:val="24"/>
        </w:rPr>
        <w:t xml:space="preserve">Three non-executive </w:t>
      </w:r>
      <w:r w:rsidR="006A57C5" w:rsidRPr="00A43A17">
        <w:rPr>
          <w:rFonts w:ascii="Arial" w:hAnsi="Arial" w:cs="Arial"/>
          <w:sz w:val="24"/>
          <w:szCs w:val="24"/>
        </w:rPr>
        <w:t>directors</w:t>
      </w:r>
      <w:r w:rsidR="00A43A17">
        <w:rPr>
          <w:rFonts w:ascii="Arial" w:hAnsi="Arial" w:cs="Arial"/>
          <w:sz w:val="24"/>
          <w:szCs w:val="24"/>
        </w:rPr>
        <w:t xml:space="preserve"> </w:t>
      </w:r>
      <w:r w:rsidR="00A31ED4" w:rsidRPr="00A43A17">
        <w:rPr>
          <w:rFonts w:ascii="Arial" w:hAnsi="Arial" w:cs="Arial"/>
          <w:sz w:val="24"/>
          <w:szCs w:val="24"/>
        </w:rPr>
        <w:t>(one appointed as Chair of the Committee)</w:t>
      </w:r>
    </w:p>
    <w:p w14:paraId="5DC00E7B" w14:textId="491A7E2E"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Chief Executive</w:t>
      </w:r>
      <w:r w:rsidR="00F45C53">
        <w:rPr>
          <w:rFonts w:ascii="Arial" w:hAnsi="Arial" w:cs="Arial"/>
          <w:sz w:val="24"/>
          <w:szCs w:val="24"/>
        </w:rPr>
        <w:t xml:space="preserve"> or Deputy Chief Executive</w:t>
      </w:r>
    </w:p>
    <w:p w14:paraId="2BF86112" w14:textId="77777777"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Director of Finance</w:t>
      </w:r>
    </w:p>
    <w:p w14:paraId="72B0C7F4" w14:textId="4F552C3D"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 xml:space="preserve">Director of </w:t>
      </w:r>
      <w:r w:rsidR="00F12808" w:rsidRPr="00A43A17">
        <w:rPr>
          <w:rFonts w:ascii="Arial" w:hAnsi="Arial" w:cs="Arial"/>
          <w:sz w:val="24"/>
          <w:szCs w:val="24"/>
        </w:rPr>
        <w:t>Improvement and Delivery</w:t>
      </w:r>
    </w:p>
    <w:p w14:paraId="6BB87FAC" w14:textId="118EECE4"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Chief Digital and Information Officer</w:t>
      </w:r>
    </w:p>
    <w:p w14:paraId="5D1B1B6C" w14:textId="46D59886"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Chief Operating Officer</w:t>
      </w:r>
      <w:r w:rsidR="00891D8E" w:rsidRPr="00A43A17">
        <w:rPr>
          <w:rFonts w:ascii="Arial" w:hAnsi="Arial" w:cs="Arial"/>
          <w:sz w:val="24"/>
          <w:szCs w:val="24"/>
        </w:rPr>
        <w:t xml:space="preserve"> (Estates executive lead</w:t>
      </w:r>
      <w:r w:rsidR="00A43A17">
        <w:rPr>
          <w:rFonts w:ascii="Arial" w:hAnsi="Arial" w:cs="Arial"/>
          <w:sz w:val="24"/>
          <w:szCs w:val="24"/>
        </w:rPr>
        <w:t>)</w:t>
      </w:r>
    </w:p>
    <w:p w14:paraId="3B2B8974" w14:textId="4783B3F9"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Medical Director and Director of Safety</w:t>
      </w:r>
      <w:r w:rsidR="00F45C53">
        <w:rPr>
          <w:rFonts w:ascii="Arial" w:hAnsi="Arial" w:cs="Arial"/>
          <w:sz w:val="24"/>
          <w:szCs w:val="24"/>
        </w:rPr>
        <w:t xml:space="preserve"> (as relevant to agenda items)</w:t>
      </w:r>
      <w:r w:rsidRPr="00A43A17">
        <w:rPr>
          <w:rFonts w:ascii="Arial" w:hAnsi="Arial" w:cs="Arial"/>
          <w:sz w:val="24"/>
          <w:szCs w:val="24"/>
        </w:rPr>
        <w:t xml:space="preserve"> </w:t>
      </w:r>
    </w:p>
    <w:p w14:paraId="48A542C6" w14:textId="475C7E99" w:rsidR="00B870B3" w:rsidRPr="00A43A17" w:rsidRDefault="00B870B3"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Chief Nurse and Director of Quality</w:t>
      </w:r>
      <w:r w:rsidR="00F45C53">
        <w:rPr>
          <w:rFonts w:ascii="Arial" w:hAnsi="Arial" w:cs="Arial"/>
          <w:sz w:val="24"/>
          <w:szCs w:val="24"/>
        </w:rPr>
        <w:t xml:space="preserve"> (as relevant to agenda items)</w:t>
      </w:r>
    </w:p>
    <w:p w14:paraId="74FB20D3" w14:textId="600E84AB" w:rsidR="00F12808" w:rsidRPr="00A43A17" w:rsidRDefault="00F12808" w:rsidP="005E66B0">
      <w:pPr>
        <w:pStyle w:val="ListParagraph"/>
        <w:numPr>
          <w:ilvl w:val="0"/>
          <w:numId w:val="20"/>
        </w:numPr>
        <w:spacing w:after="0" w:line="240" w:lineRule="auto"/>
        <w:ind w:left="357" w:hanging="357"/>
        <w:rPr>
          <w:rFonts w:ascii="Arial" w:hAnsi="Arial" w:cs="Arial"/>
          <w:sz w:val="24"/>
          <w:szCs w:val="24"/>
        </w:rPr>
      </w:pPr>
      <w:r w:rsidRPr="00A43A17">
        <w:rPr>
          <w:rFonts w:ascii="Arial" w:hAnsi="Arial" w:cs="Arial"/>
          <w:sz w:val="24"/>
          <w:szCs w:val="24"/>
        </w:rPr>
        <w:t>Director of Integrated Governance</w:t>
      </w:r>
    </w:p>
    <w:p w14:paraId="66ABCEB4" w14:textId="16BEAF27" w:rsidR="00B870B3" w:rsidRPr="00A43A17" w:rsidRDefault="00B870B3" w:rsidP="00B870B3">
      <w:pPr>
        <w:spacing w:after="0" w:line="240" w:lineRule="auto"/>
        <w:rPr>
          <w:rFonts w:ascii="Arial" w:hAnsi="Arial" w:cs="Arial"/>
          <w:sz w:val="24"/>
          <w:szCs w:val="24"/>
        </w:rPr>
      </w:pPr>
    </w:p>
    <w:p w14:paraId="5CE4BDD5" w14:textId="77777777" w:rsidR="00D34FAA" w:rsidRPr="00A43A17" w:rsidRDefault="00D34FAA" w:rsidP="00D34FAA">
      <w:pPr>
        <w:spacing w:after="0" w:line="240" w:lineRule="auto"/>
        <w:jc w:val="both"/>
        <w:rPr>
          <w:rFonts w:ascii="Arial" w:hAnsi="Arial" w:cs="Arial"/>
          <w:sz w:val="24"/>
          <w:szCs w:val="24"/>
        </w:rPr>
      </w:pPr>
      <w:r w:rsidRPr="00A43A17">
        <w:rPr>
          <w:rFonts w:ascii="Arial" w:hAnsi="Arial" w:cs="Arial"/>
          <w:sz w:val="24"/>
          <w:szCs w:val="24"/>
        </w:rPr>
        <w:t>Other executive directors, associate NEDs, subsidiary leaders, external advisors or observers may attend by invitation at the discretion of the Committee Chair.</w:t>
      </w:r>
    </w:p>
    <w:p w14:paraId="0C44F3E1" w14:textId="4C4CB6DC" w:rsidR="00B870B3" w:rsidRPr="00A43A17" w:rsidRDefault="00B870B3" w:rsidP="00B870B3">
      <w:pPr>
        <w:spacing w:after="0" w:line="240" w:lineRule="auto"/>
        <w:rPr>
          <w:rFonts w:ascii="Arial" w:hAnsi="Arial" w:cs="Arial"/>
          <w:b/>
          <w:sz w:val="24"/>
          <w:szCs w:val="24"/>
        </w:rPr>
      </w:pPr>
    </w:p>
    <w:p w14:paraId="6A11BC48" w14:textId="77777777" w:rsidR="005E66B0" w:rsidRPr="00A43A17" w:rsidRDefault="00B870B3" w:rsidP="00B870B3">
      <w:pPr>
        <w:spacing w:after="0" w:line="240" w:lineRule="auto"/>
        <w:jc w:val="both"/>
        <w:rPr>
          <w:rFonts w:ascii="Arial" w:hAnsi="Arial" w:cs="Arial"/>
          <w:sz w:val="24"/>
          <w:szCs w:val="24"/>
        </w:rPr>
      </w:pPr>
      <w:r w:rsidRPr="00A43A17">
        <w:rPr>
          <w:rFonts w:ascii="Arial" w:hAnsi="Arial" w:cs="Arial"/>
          <w:sz w:val="24"/>
          <w:szCs w:val="24"/>
        </w:rPr>
        <w:t xml:space="preserve">One of the non-executive members will be appointed Chair of the Committee by the Chair of the Board. </w:t>
      </w:r>
    </w:p>
    <w:p w14:paraId="1A0FABAA" w14:textId="77777777" w:rsidR="005E66B0" w:rsidRPr="00A43A17" w:rsidRDefault="005E66B0" w:rsidP="00B870B3">
      <w:pPr>
        <w:spacing w:after="0" w:line="240" w:lineRule="auto"/>
        <w:jc w:val="both"/>
        <w:rPr>
          <w:rFonts w:ascii="Arial" w:hAnsi="Arial" w:cs="Arial"/>
          <w:sz w:val="24"/>
          <w:szCs w:val="24"/>
        </w:rPr>
      </w:pPr>
    </w:p>
    <w:p w14:paraId="3F200C1E" w14:textId="77777777" w:rsidR="005E66B0" w:rsidRPr="00A43A17" w:rsidRDefault="00B870B3" w:rsidP="00B870B3">
      <w:pPr>
        <w:spacing w:after="0" w:line="240" w:lineRule="auto"/>
        <w:jc w:val="both"/>
        <w:rPr>
          <w:rFonts w:ascii="Arial" w:hAnsi="Arial" w:cs="Arial"/>
          <w:sz w:val="24"/>
          <w:szCs w:val="24"/>
        </w:rPr>
      </w:pPr>
      <w:r w:rsidRPr="00A43A17">
        <w:rPr>
          <w:rFonts w:ascii="Arial" w:hAnsi="Arial" w:cs="Arial"/>
          <w:sz w:val="24"/>
          <w:szCs w:val="24"/>
        </w:rPr>
        <w:t xml:space="preserve">In the absence of the Chair, a meeting of the Committee may be chaired by one of the other non-executive members of the Committee. </w:t>
      </w:r>
    </w:p>
    <w:p w14:paraId="2DD107C2" w14:textId="77777777" w:rsidR="005E66B0" w:rsidRPr="00A43A17" w:rsidRDefault="005E66B0" w:rsidP="00B870B3">
      <w:pPr>
        <w:spacing w:after="0" w:line="240" w:lineRule="auto"/>
        <w:jc w:val="both"/>
        <w:rPr>
          <w:rFonts w:ascii="Arial" w:hAnsi="Arial" w:cs="Arial"/>
          <w:sz w:val="24"/>
          <w:szCs w:val="24"/>
        </w:rPr>
      </w:pPr>
    </w:p>
    <w:p w14:paraId="29B6C046" w14:textId="1726C77F" w:rsidR="00B870B3" w:rsidRPr="00A43A17" w:rsidRDefault="00B870B3" w:rsidP="00B870B3">
      <w:pPr>
        <w:spacing w:after="0" w:line="240" w:lineRule="auto"/>
        <w:jc w:val="both"/>
        <w:rPr>
          <w:rFonts w:ascii="Arial" w:hAnsi="Arial" w:cs="Arial"/>
          <w:sz w:val="24"/>
          <w:szCs w:val="24"/>
        </w:rPr>
      </w:pPr>
      <w:r w:rsidRPr="00A43A17">
        <w:rPr>
          <w:rFonts w:ascii="Arial" w:hAnsi="Arial" w:cs="Arial"/>
          <w:sz w:val="24"/>
          <w:szCs w:val="24"/>
        </w:rPr>
        <w:t>Where vacancy or absence prevents full non-executive membership</w:t>
      </w:r>
      <w:r w:rsidR="00685565" w:rsidRPr="00A43A17">
        <w:rPr>
          <w:rFonts w:ascii="Arial" w:hAnsi="Arial" w:cs="Arial"/>
          <w:sz w:val="24"/>
          <w:szCs w:val="24"/>
        </w:rPr>
        <w:t xml:space="preserve"> affecting quoracy</w:t>
      </w:r>
      <w:r w:rsidRPr="00A43A17">
        <w:rPr>
          <w:rFonts w:ascii="Arial" w:hAnsi="Arial" w:cs="Arial"/>
          <w:sz w:val="24"/>
          <w:szCs w:val="24"/>
        </w:rPr>
        <w:t xml:space="preserve">, an additional non-executive member of the Board may be co-opted as an interim member of the Committee, as required. </w:t>
      </w:r>
    </w:p>
    <w:p w14:paraId="51FE2EAC" w14:textId="77777777" w:rsidR="00B870B3" w:rsidRPr="00A43A17" w:rsidRDefault="00B870B3" w:rsidP="00B870B3">
      <w:pPr>
        <w:spacing w:after="0" w:line="240" w:lineRule="auto"/>
        <w:jc w:val="both"/>
        <w:rPr>
          <w:rFonts w:ascii="Arial" w:hAnsi="Arial" w:cs="Arial"/>
          <w:sz w:val="24"/>
          <w:szCs w:val="24"/>
        </w:rPr>
      </w:pPr>
    </w:p>
    <w:p w14:paraId="360FF1A3" w14:textId="6D06ADDE" w:rsidR="00B870B3" w:rsidRPr="00A43A17" w:rsidRDefault="00B870B3" w:rsidP="00B870B3">
      <w:pPr>
        <w:spacing w:after="0" w:line="240" w:lineRule="auto"/>
        <w:jc w:val="both"/>
        <w:rPr>
          <w:rFonts w:ascii="Arial" w:hAnsi="Arial" w:cs="Arial"/>
          <w:sz w:val="24"/>
          <w:szCs w:val="24"/>
        </w:rPr>
      </w:pPr>
      <w:r w:rsidRPr="00A43A17">
        <w:rPr>
          <w:rFonts w:ascii="Arial" w:hAnsi="Arial" w:cs="Arial"/>
          <w:sz w:val="24"/>
          <w:szCs w:val="24"/>
        </w:rPr>
        <w:t>Membership may also include any other members of the Board of Directors and any other directors, senior managers and associate non-executive directors as considered appropriate.</w:t>
      </w:r>
    </w:p>
    <w:p w14:paraId="6863159A" w14:textId="77777777" w:rsidR="00712AC7" w:rsidRPr="00A43A17" w:rsidRDefault="00712AC7" w:rsidP="00B870B3">
      <w:pPr>
        <w:spacing w:after="0" w:line="240" w:lineRule="auto"/>
        <w:jc w:val="both"/>
        <w:rPr>
          <w:rFonts w:ascii="Arial" w:hAnsi="Arial" w:cs="Arial"/>
          <w:sz w:val="24"/>
          <w:szCs w:val="24"/>
        </w:rPr>
      </w:pPr>
    </w:p>
    <w:p w14:paraId="1D55F646" w14:textId="1D5A06E7" w:rsidR="00D538BB" w:rsidRPr="00A43A17" w:rsidRDefault="00C4411E" w:rsidP="00B870B3">
      <w:pPr>
        <w:spacing w:after="0" w:line="240" w:lineRule="auto"/>
        <w:rPr>
          <w:rFonts w:ascii="Arial" w:hAnsi="Arial" w:cs="Arial"/>
          <w:b/>
          <w:sz w:val="24"/>
          <w:szCs w:val="24"/>
        </w:rPr>
      </w:pPr>
      <w:r w:rsidRPr="00A43A17">
        <w:rPr>
          <w:rFonts w:ascii="Arial" w:hAnsi="Arial" w:cs="Arial"/>
          <w:b/>
          <w:sz w:val="24"/>
          <w:szCs w:val="24"/>
        </w:rPr>
        <w:t>MEETING</w:t>
      </w:r>
      <w:r w:rsidR="00D64D23" w:rsidRPr="00A43A17">
        <w:rPr>
          <w:rFonts w:ascii="Arial" w:hAnsi="Arial" w:cs="Arial"/>
          <w:b/>
          <w:sz w:val="24"/>
          <w:szCs w:val="24"/>
        </w:rPr>
        <w:t xml:space="preserve"> ADMINISTRATION</w:t>
      </w:r>
    </w:p>
    <w:p w14:paraId="372C4A05" w14:textId="77777777" w:rsidR="005E66B0" w:rsidRPr="00A43A17" w:rsidRDefault="005E66B0" w:rsidP="00B870B3">
      <w:pPr>
        <w:spacing w:after="0" w:line="240" w:lineRule="auto"/>
        <w:jc w:val="both"/>
        <w:rPr>
          <w:rFonts w:ascii="Arial" w:hAnsi="Arial" w:cs="Arial"/>
          <w:sz w:val="24"/>
          <w:szCs w:val="24"/>
        </w:rPr>
      </w:pPr>
    </w:p>
    <w:p w14:paraId="4D600BA8" w14:textId="15CCBD56" w:rsidR="00E43D28" w:rsidRPr="00A43A17" w:rsidRDefault="00E43D28" w:rsidP="00B870B3">
      <w:pPr>
        <w:spacing w:after="0" w:line="240" w:lineRule="auto"/>
        <w:jc w:val="both"/>
        <w:rPr>
          <w:rFonts w:ascii="Arial" w:hAnsi="Arial" w:cs="Arial"/>
          <w:sz w:val="24"/>
          <w:szCs w:val="24"/>
        </w:rPr>
      </w:pPr>
      <w:r w:rsidRPr="00A43A17">
        <w:rPr>
          <w:rFonts w:ascii="Arial" w:hAnsi="Arial" w:cs="Arial"/>
          <w:sz w:val="24"/>
          <w:szCs w:val="24"/>
        </w:rPr>
        <w:t>The Trust Secretary will be responsible for providing secretariat support to the Committee.</w:t>
      </w:r>
    </w:p>
    <w:p w14:paraId="0441D8D7" w14:textId="77777777" w:rsidR="00E43D28" w:rsidRPr="00A43A17" w:rsidRDefault="00E43D28" w:rsidP="00B870B3">
      <w:pPr>
        <w:spacing w:after="0" w:line="240" w:lineRule="auto"/>
        <w:jc w:val="both"/>
        <w:rPr>
          <w:rFonts w:ascii="Arial" w:hAnsi="Arial" w:cs="Arial"/>
          <w:sz w:val="24"/>
          <w:szCs w:val="24"/>
        </w:rPr>
      </w:pPr>
    </w:p>
    <w:p w14:paraId="4C624166" w14:textId="03D56BA0" w:rsidR="005E66B0" w:rsidRPr="00A43A17" w:rsidRDefault="00942A38" w:rsidP="00B870B3">
      <w:pPr>
        <w:spacing w:after="0" w:line="240" w:lineRule="auto"/>
        <w:jc w:val="both"/>
        <w:rPr>
          <w:rFonts w:ascii="Arial" w:hAnsi="Arial" w:cs="Arial"/>
          <w:sz w:val="24"/>
          <w:szCs w:val="24"/>
        </w:rPr>
      </w:pPr>
      <w:r w:rsidRPr="00A43A17">
        <w:rPr>
          <w:rFonts w:ascii="Arial" w:hAnsi="Arial" w:cs="Arial"/>
          <w:sz w:val="24"/>
          <w:szCs w:val="24"/>
        </w:rPr>
        <w:t>Notice of each meeting, including an agenda and supporting papers, shall be</w:t>
      </w:r>
      <w:r w:rsidR="00C31907" w:rsidRPr="00A43A17">
        <w:rPr>
          <w:rFonts w:ascii="Arial" w:hAnsi="Arial" w:cs="Arial"/>
          <w:sz w:val="24"/>
          <w:szCs w:val="24"/>
        </w:rPr>
        <w:t xml:space="preserve"> sent</w:t>
      </w:r>
      <w:r w:rsidRPr="00A43A17">
        <w:rPr>
          <w:rFonts w:ascii="Arial" w:hAnsi="Arial" w:cs="Arial"/>
          <w:sz w:val="24"/>
          <w:szCs w:val="24"/>
        </w:rPr>
        <w:t xml:space="preserve"> to each member of the</w:t>
      </w:r>
      <w:r w:rsidR="00D538BB" w:rsidRPr="00A43A17">
        <w:rPr>
          <w:rFonts w:ascii="Arial" w:hAnsi="Arial" w:cs="Arial"/>
          <w:sz w:val="24"/>
          <w:szCs w:val="24"/>
        </w:rPr>
        <w:t xml:space="preserve"> </w:t>
      </w:r>
      <w:r w:rsidRPr="00A43A17">
        <w:rPr>
          <w:rFonts w:ascii="Arial" w:hAnsi="Arial" w:cs="Arial"/>
          <w:sz w:val="24"/>
          <w:szCs w:val="24"/>
        </w:rPr>
        <w:t>Committee not less than five working days before the date of the meeting.</w:t>
      </w:r>
      <w:r w:rsidR="00F94A3C" w:rsidRPr="00A43A17">
        <w:rPr>
          <w:rFonts w:ascii="Arial" w:hAnsi="Arial" w:cs="Arial"/>
          <w:sz w:val="24"/>
          <w:szCs w:val="24"/>
        </w:rPr>
        <w:t xml:space="preserve"> This can be waived under exceptional circumstances and agreed by the </w:t>
      </w:r>
      <w:r w:rsidR="00F94A3C" w:rsidRPr="00A43A17">
        <w:rPr>
          <w:rFonts w:ascii="Arial" w:hAnsi="Arial" w:cs="Arial"/>
          <w:sz w:val="24"/>
          <w:szCs w:val="24"/>
        </w:rPr>
        <w:lastRenderedPageBreak/>
        <w:t>Chair.</w:t>
      </w:r>
      <w:r w:rsidR="00D808BF" w:rsidRPr="00A43A17">
        <w:rPr>
          <w:rFonts w:ascii="Arial" w:hAnsi="Arial" w:cs="Arial"/>
          <w:sz w:val="24"/>
          <w:szCs w:val="24"/>
        </w:rPr>
        <w:t xml:space="preserve"> </w:t>
      </w:r>
      <w:r w:rsidR="00F45C53">
        <w:rPr>
          <w:rFonts w:ascii="Arial" w:hAnsi="Arial" w:cs="Arial"/>
          <w:sz w:val="24"/>
          <w:szCs w:val="24"/>
        </w:rPr>
        <w:t>A Call Agenda will be agreed and circulated not less than ten working days before the date of the meeting.</w:t>
      </w:r>
    </w:p>
    <w:p w14:paraId="238CE641" w14:textId="77777777" w:rsidR="005E66B0" w:rsidRPr="00A43A17" w:rsidRDefault="005E66B0" w:rsidP="00B870B3">
      <w:pPr>
        <w:spacing w:after="0" w:line="240" w:lineRule="auto"/>
        <w:jc w:val="both"/>
        <w:rPr>
          <w:rFonts w:ascii="Arial" w:hAnsi="Arial" w:cs="Arial"/>
          <w:sz w:val="24"/>
          <w:szCs w:val="24"/>
        </w:rPr>
      </w:pPr>
    </w:p>
    <w:p w14:paraId="36360F3C" w14:textId="77777777" w:rsidR="005E66B0" w:rsidRPr="00A43A17" w:rsidRDefault="005E66B0" w:rsidP="00B870B3">
      <w:pPr>
        <w:spacing w:after="0" w:line="240" w:lineRule="auto"/>
        <w:jc w:val="both"/>
        <w:rPr>
          <w:rFonts w:ascii="Arial" w:hAnsi="Arial" w:cs="Arial"/>
          <w:sz w:val="24"/>
          <w:szCs w:val="24"/>
        </w:rPr>
      </w:pPr>
    </w:p>
    <w:p w14:paraId="06EB4520" w14:textId="413706BE" w:rsidR="005E66B0" w:rsidRPr="00A43A17" w:rsidRDefault="00B143BF" w:rsidP="00B870B3">
      <w:pPr>
        <w:spacing w:after="0" w:line="240" w:lineRule="auto"/>
        <w:jc w:val="both"/>
        <w:rPr>
          <w:rFonts w:ascii="Arial" w:hAnsi="Arial" w:cs="Arial"/>
          <w:b/>
          <w:sz w:val="24"/>
          <w:szCs w:val="24"/>
        </w:rPr>
      </w:pPr>
      <w:r w:rsidRPr="00A43A17">
        <w:rPr>
          <w:rFonts w:ascii="Arial" w:hAnsi="Arial" w:cs="Arial"/>
          <w:sz w:val="24"/>
          <w:szCs w:val="24"/>
        </w:rPr>
        <w:t>Meetings may be held in person or virtually; remote participation</w:t>
      </w:r>
      <w:r w:rsidR="009F04D0" w:rsidRPr="00A43A17">
        <w:rPr>
          <w:rFonts w:ascii="Arial" w:hAnsi="Arial" w:cs="Arial"/>
          <w:sz w:val="24"/>
          <w:szCs w:val="24"/>
        </w:rPr>
        <w:t xml:space="preserve"> will be deemed presence in person.</w:t>
      </w:r>
    </w:p>
    <w:p w14:paraId="261DD98A" w14:textId="77777777" w:rsidR="005E66B0" w:rsidRPr="00A43A17" w:rsidRDefault="005E66B0" w:rsidP="00B870B3">
      <w:pPr>
        <w:spacing w:after="0" w:line="240" w:lineRule="auto"/>
        <w:jc w:val="both"/>
        <w:rPr>
          <w:rFonts w:ascii="Arial" w:hAnsi="Arial" w:cs="Arial"/>
          <w:b/>
          <w:sz w:val="24"/>
          <w:szCs w:val="24"/>
        </w:rPr>
      </w:pPr>
    </w:p>
    <w:p w14:paraId="58F672BC" w14:textId="4208E31B" w:rsidR="005E66B0" w:rsidRPr="00A43A17" w:rsidRDefault="00C4411E" w:rsidP="00B870B3">
      <w:pPr>
        <w:spacing w:after="0" w:line="240" w:lineRule="auto"/>
        <w:jc w:val="both"/>
        <w:rPr>
          <w:rFonts w:ascii="Arial" w:hAnsi="Arial" w:cs="Arial"/>
          <w:bCs/>
          <w:sz w:val="24"/>
          <w:szCs w:val="24"/>
        </w:rPr>
      </w:pPr>
      <w:r w:rsidRPr="00A43A17">
        <w:rPr>
          <w:rFonts w:ascii="Arial" w:hAnsi="Arial" w:cs="Arial"/>
          <w:sz w:val="24"/>
          <w:szCs w:val="24"/>
        </w:rPr>
        <w:t>Minutes of the meetings of the Committee shall be taken</w:t>
      </w:r>
      <w:r w:rsidR="00D538BB" w:rsidRPr="00A43A17">
        <w:rPr>
          <w:rFonts w:ascii="Arial" w:hAnsi="Arial" w:cs="Arial"/>
          <w:sz w:val="24"/>
          <w:szCs w:val="24"/>
        </w:rPr>
        <w:t>, and a record of meetings submitted to the Board of Directors</w:t>
      </w:r>
      <w:r w:rsidR="000E7547" w:rsidRPr="00A43A17">
        <w:rPr>
          <w:rFonts w:ascii="Arial" w:hAnsi="Arial" w:cs="Arial"/>
          <w:sz w:val="24"/>
          <w:szCs w:val="24"/>
        </w:rPr>
        <w:t xml:space="preserve"> via a </w:t>
      </w:r>
      <w:r w:rsidR="00E43D28" w:rsidRPr="00A43A17">
        <w:rPr>
          <w:rFonts w:ascii="Arial" w:hAnsi="Arial" w:cs="Arial"/>
          <w:sz w:val="24"/>
          <w:szCs w:val="24"/>
        </w:rPr>
        <w:t>K</w:t>
      </w:r>
      <w:r w:rsidR="000E7547" w:rsidRPr="00A43A17">
        <w:rPr>
          <w:rFonts w:ascii="Arial" w:hAnsi="Arial" w:cs="Arial"/>
          <w:sz w:val="24"/>
          <w:szCs w:val="24"/>
        </w:rPr>
        <w:t xml:space="preserve">ey </w:t>
      </w:r>
      <w:r w:rsidR="00E43D28" w:rsidRPr="00A43A17">
        <w:rPr>
          <w:rFonts w:ascii="Arial" w:hAnsi="Arial" w:cs="Arial"/>
          <w:sz w:val="24"/>
          <w:szCs w:val="24"/>
        </w:rPr>
        <w:t>I</w:t>
      </w:r>
      <w:r w:rsidR="000E7547" w:rsidRPr="00A43A17">
        <w:rPr>
          <w:rFonts w:ascii="Arial" w:hAnsi="Arial" w:cs="Arial"/>
          <w:sz w:val="24"/>
          <w:szCs w:val="24"/>
        </w:rPr>
        <w:t xml:space="preserve">ssues and </w:t>
      </w:r>
      <w:r w:rsidR="00E43D28" w:rsidRPr="00A43A17">
        <w:rPr>
          <w:rFonts w:ascii="Arial" w:hAnsi="Arial" w:cs="Arial"/>
          <w:sz w:val="24"/>
          <w:szCs w:val="24"/>
        </w:rPr>
        <w:t>A</w:t>
      </w:r>
      <w:r w:rsidR="000E7547" w:rsidRPr="00A43A17">
        <w:rPr>
          <w:rFonts w:ascii="Arial" w:hAnsi="Arial" w:cs="Arial"/>
          <w:sz w:val="24"/>
          <w:szCs w:val="24"/>
        </w:rPr>
        <w:t xml:space="preserve">ssurance </w:t>
      </w:r>
      <w:r w:rsidR="00E43D28" w:rsidRPr="00A43A17">
        <w:rPr>
          <w:rFonts w:ascii="Arial" w:hAnsi="Arial" w:cs="Arial"/>
          <w:sz w:val="24"/>
          <w:szCs w:val="24"/>
        </w:rPr>
        <w:t>R</w:t>
      </w:r>
      <w:r w:rsidR="000E7547" w:rsidRPr="00A43A17">
        <w:rPr>
          <w:rFonts w:ascii="Arial" w:hAnsi="Arial" w:cs="Arial"/>
          <w:sz w:val="24"/>
          <w:szCs w:val="24"/>
        </w:rPr>
        <w:t>eport</w:t>
      </w:r>
      <w:r w:rsidR="00B30B7E" w:rsidRPr="00A43A17">
        <w:rPr>
          <w:rFonts w:ascii="Arial" w:hAnsi="Arial" w:cs="Arial"/>
          <w:sz w:val="24"/>
          <w:szCs w:val="24"/>
        </w:rPr>
        <w:t xml:space="preserve"> (4As)</w:t>
      </w:r>
      <w:r w:rsidR="00D538BB" w:rsidRPr="00A43A17">
        <w:rPr>
          <w:rFonts w:ascii="Arial" w:hAnsi="Arial" w:cs="Arial"/>
          <w:sz w:val="24"/>
          <w:szCs w:val="24"/>
        </w:rPr>
        <w:t xml:space="preserve"> for consideration in its meetings held in public</w:t>
      </w:r>
      <w:r w:rsidRPr="00A43A17">
        <w:rPr>
          <w:rFonts w:ascii="Arial" w:hAnsi="Arial" w:cs="Arial"/>
          <w:sz w:val="24"/>
          <w:szCs w:val="24"/>
        </w:rPr>
        <w:t>.</w:t>
      </w:r>
      <w:r w:rsidR="00D538BB" w:rsidRPr="00A43A17">
        <w:rPr>
          <w:rFonts w:ascii="Arial" w:hAnsi="Arial" w:cs="Arial"/>
          <w:b/>
          <w:sz w:val="24"/>
          <w:szCs w:val="24"/>
        </w:rPr>
        <w:t xml:space="preserve"> </w:t>
      </w:r>
      <w:r w:rsidR="00B30B7E" w:rsidRPr="00A43A17">
        <w:rPr>
          <w:rFonts w:ascii="Arial" w:hAnsi="Arial" w:cs="Arial"/>
          <w:bCs/>
          <w:sz w:val="24"/>
          <w:szCs w:val="24"/>
        </w:rPr>
        <w:t>The Committee will escalate to the Board where sufficient assurance cannot be obtained, or financial/digital/estates risks exceed agreed tolerances or threaten strategic delivery.</w:t>
      </w:r>
    </w:p>
    <w:p w14:paraId="6872CCCD" w14:textId="77777777" w:rsidR="005E66B0" w:rsidRPr="00A43A17" w:rsidRDefault="005E66B0" w:rsidP="00B870B3">
      <w:pPr>
        <w:spacing w:after="0" w:line="240" w:lineRule="auto"/>
        <w:jc w:val="both"/>
        <w:rPr>
          <w:rFonts w:ascii="Arial" w:hAnsi="Arial" w:cs="Arial"/>
          <w:b/>
          <w:sz w:val="24"/>
          <w:szCs w:val="24"/>
        </w:rPr>
      </w:pPr>
    </w:p>
    <w:p w14:paraId="750C14ED" w14:textId="019C68F2" w:rsidR="00D538BB" w:rsidRPr="00A43A17" w:rsidRDefault="0061050B" w:rsidP="00B870B3">
      <w:pPr>
        <w:spacing w:after="0" w:line="240" w:lineRule="auto"/>
        <w:jc w:val="both"/>
        <w:rPr>
          <w:rFonts w:ascii="Arial" w:hAnsi="Arial" w:cs="Arial"/>
          <w:sz w:val="24"/>
          <w:szCs w:val="24"/>
        </w:rPr>
      </w:pPr>
      <w:r w:rsidRPr="00A43A17">
        <w:rPr>
          <w:rFonts w:ascii="Arial" w:hAnsi="Arial" w:cs="Arial"/>
          <w:sz w:val="24"/>
          <w:szCs w:val="24"/>
        </w:rPr>
        <w:t>An annual schedule of reporting shall be set</w:t>
      </w:r>
      <w:r w:rsidR="00B020A0" w:rsidRPr="00A43A17">
        <w:rPr>
          <w:rFonts w:ascii="Arial" w:hAnsi="Arial" w:cs="Arial"/>
          <w:sz w:val="24"/>
          <w:szCs w:val="24"/>
        </w:rPr>
        <w:t xml:space="preserve"> and regularly</w:t>
      </w:r>
      <w:r w:rsidR="00942A38" w:rsidRPr="00A43A17">
        <w:rPr>
          <w:rFonts w:ascii="Arial" w:hAnsi="Arial" w:cs="Arial"/>
          <w:sz w:val="24"/>
          <w:szCs w:val="24"/>
        </w:rPr>
        <w:t xml:space="preserve"> reviewed</w:t>
      </w:r>
      <w:r w:rsidRPr="00A43A17">
        <w:rPr>
          <w:rFonts w:ascii="Arial" w:hAnsi="Arial" w:cs="Arial"/>
          <w:sz w:val="24"/>
          <w:szCs w:val="24"/>
        </w:rPr>
        <w:t xml:space="preserve">. </w:t>
      </w:r>
      <w:bookmarkStart w:id="0" w:name="_Hlk101037391"/>
    </w:p>
    <w:p w14:paraId="4BC3ACBA" w14:textId="77777777" w:rsidR="00B870B3" w:rsidRPr="00A43A17" w:rsidRDefault="00B870B3" w:rsidP="00B870B3">
      <w:pPr>
        <w:spacing w:after="0" w:line="240" w:lineRule="auto"/>
        <w:jc w:val="both"/>
        <w:rPr>
          <w:rFonts w:ascii="Arial" w:hAnsi="Arial" w:cs="Arial"/>
          <w:sz w:val="24"/>
          <w:szCs w:val="24"/>
        </w:rPr>
      </w:pPr>
    </w:p>
    <w:p w14:paraId="0708787E" w14:textId="15B8BFD5" w:rsidR="00B870B3" w:rsidRPr="00A43A17" w:rsidRDefault="00B51D02" w:rsidP="00B870B3">
      <w:pPr>
        <w:spacing w:after="0" w:line="240" w:lineRule="auto"/>
        <w:jc w:val="both"/>
        <w:rPr>
          <w:rFonts w:ascii="Arial" w:hAnsi="Arial" w:cs="Arial"/>
          <w:sz w:val="24"/>
          <w:szCs w:val="24"/>
        </w:rPr>
      </w:pPr>
      <w:r w:rsidRPr="00A43A17">
        <w:rPr>
          <w:rFonts w:ascii="Arial" w:hAnsi="Arial" w:cs="Arial"/>
          <w:sz w:val="24"/>
          <w:szCs w:val="24"/>
        </w:rPr>
        <w:t xml:space="preserve">The Committee will evaluate its membership and performance on a regular basis through an annual review of its activities </w:t>
      </w:r>
      <w:r w:rsidR="00692DAD">
        <w:rPr>
          <w:rFonts w:ascii="Arial" w:hAnsi="Arial" w:cs="Arial"/>
          <w:sz w:val="24"/>
          <w:szCs w:val="24"/>
        </w:rPr>
        <w:t xml:space="preserve">and effectiveness </w:t>
      </w:r>
      <w:r w:rsidRPr="00A43A17">
        <w:rPr>
          <w:rFonts w:ascii="Arial" w:hAnsi="Arial" w:cs="Arial"/>
          <w:sz w:val="24"/>
          <w:szCs w:val="24"/>
        </w:rPr>
        <w:t>over the course of the previous year</w:t>
      </w:r>
      <w:r w:rsidR="00312858" w:rsidRPr="00A43A17">
        <w:rPr>
          <w:rFonts w:ascii="Arial" w:hAnsi="Arial" w:cs="Arial"/>
          <w:sz w:val="24"/>
          <w:szCs w:val="24"/>
        </w:rPr>
        <w:t>.</w:t>
      </w:r>
      <w:r w:rsidR="00D538BB" w:rsidRPr="00A43A17">
        <w:rPr>
          <w:rFonts w:ascii="Arial" w:hAnsi="Arial" w:cs="Arial"/>
          <w:sz w:val="24"/>
          <w:szCs w:val="24"/>
        </w:rPr>
        <w:t xml:space="preserve"> </w:t>
      </w:r>
      <w:r w:rsidR="00312858" w:rsidRPr="00A43A17">
        <w:rPr>
          <w:rFonts w:ascii="Arial" w:hAnsi="Arial" w:cs="Arial"/>
          <w:sz w:val="24"/>
          <w:szCs w:val="24"/>
        </w:rPr>
        <w:t>A</w:t>
      </w:r>
      <w:r w:rsidR="00D538BB" w:rsidRPr="00A43A17">
        <w:rPr>
          <w:rFonts w:ascii="Arial" w:hAnsi="Arial" w:cs="Arial"/>
          <w:sz w:val="24"/>
          <w:szCs w:val="24"/>
        </w:rPr>
        <w:t>n annual audit of compliance</w:t>
      </w:r>
      <w:r w:rsidR="00312858" w:rsidRPr="00A43A17">
        <w:rPr>
          <w:rFonts w:ascii="Arial" w:hAnsi="Arial" w:cs="Arial"/>
          <w:sz w:val="24"/>
          <w:szCs w:val="24"/>
        </w:rPr>
        <w:t xml:space="preserve"> of</w:t>
      </w:r>
      <w:r w:rsidR="00D538BB" w:rsidRPr="00A43A17">
        <w:rPr>
          <w:rFonts w:ascii="Arial" w:hAnsi="Arial" w:cs="Arial"/>
          <w:sz w:val="24"/>
          <w:szCs w:val="24"/>
        </w:rPr>
        <w:t xml:space="preserve"> its Terms of Reference</w:t>
      </w:r>
      <w:r w:rsidR="00312858" w:rsidRPr="00A43A17">
        <w:rPr>
          <w:rFonts w:ascii="Arial" w:hAnsi="Arial" w:cs="Arial"/>
          <w:sz w:val="24"/>
          <w:szCs w:val="24"/>
        </w:rPr>
        <w:t xml:space="preserve"> will be undertaken and </w:t>
      </w:r>
      <w:r w:rsidR="00B93815" w:rsidRPr="00A43A17">
        <w:rPr>
          <w:rFonts w:ascii="Arial" w:hAnsi="Arial" w:cs="Arial"/>
          <w:sz w:val="24"/>
          <w:szCs w:val="24"/>
        </w:rPr>
        <w:t xml:space="preserve">reported to the Board </w:t>
      </w:r>
    </w:p>
    <w:p w14:paraId="7264D382" w14:textId="77777777" w:rsidR="00B870B3" w:rsidRPr="00A43A17" w:rsidRDefault="00B870B3" w:rsidP="00B870B3">
      <w:pPr>
        <w:spacing w:after="0" w:line="240" w:lineRule="auto"/>
        <w:jc w:val="both"/>
        <w:rPr>
          <w:rFonts w:ascii="Arial" w:hAnsi="Arial" w:cs="Arial"/>
          <w:sz w:val="24"/>
          <w:szCs w:val="24"/>
        </w:rPr>
      </w:pPr>
    </w:p>
    <w:p w14:paraId="73D24216" w14:textId="6BA3FEB5" w:rsidR="00B870B3" w:rsidRPr="00A43A17" w:rsidRDefault="00B51D02" w:rsidP="00B870B3">
      <w:pPr>
        <w:spacing w:after="0" w:line="240" w:lineRule="auto"/>
        <w:jc w:val="both"/>
        <w:rPr>
          <w:rFonts w:ascii="Arial" w:hAnsi="Arial" w:cs="Arial"/>
          <w:sz w:val="24"/>
          <w:szCs w:val="24"/>
        </w:rPr>
      </w:pPr>
      <w:r w:rsidRPr="00A43A17">
        <w:rPr>
          <w:rFonts w:ascii="Arial" w:hAnsi="Arial" w:cs="Arial"/>
          <w:sz w:val="24"/>
          <w:szCs w:val="24"/>
        </w:rPr>
        <w:t xml:space="preserve">The Committee will review and update its </w:t>
      </w:r>
      <w:r w:rsidR="00712AC7" w:rsidRPr="00A43A17">
        <w:rPr>
          <w:rFonts w:ascii="Arial" w:hAnsi="Arial" w:cs="Arial"/>
          <w:sz w:val="24"/>
          <w:szCs w:val="24"/>
        </w:rPr>
        <w:t>T</w:t>
      </w:r>
      <w:r w:rsidRPr="00A43A17">
        <w:rPr>
          <w:rFonts w:ascii="Arial" w:hAnsi="Arial" w:cs="Arial"/>
          <w:sz w:val="24"/>
          <w:szCs w:val="24"/>
        </w:rPr>
        <w:t xml:space="preserve">erms of </w:t>
      </w:r>
      <w:r w:rsidR="00712AC7" w:rsidRPr="00A43A17">
        <w:rPr>
          <w:rFonts w:ascii="Arial" w:hAnsi="Arial" w:cs="Arial"/>
          <w:sz w:val="24"/>
          <w:szCs w:val="24"/>
        </w:rPr>
        <w:t>R</w:t>
      </w:r>
      <w:r w:rsidRPr="00A43A17">
        <w:rPr>
          <w:rFonts w:ascii="Arial" w:hAnsi="Arial" w:cs="Arial"/>
          <w:sz w:val="24"/>
          <w:szCs w:val="24"/>
        </w:rPr>
        <w:t xml:space="preserve">eference on a </w:t>
      </w:r>
      <w:r w:rsidR="00712AC7" w:rsidRPr="00A43A17">
        <w:rPr>
          <w:rFonts w:ascii="Arial" w:hAnsi="Arial" w:cs="Arial"/>
          <w:sz w:val="24"/>
          <w:szCs w:val="24"/>
        </w:rPr>
        <w:t xml:space="preserve">biennial </w:t>
      </w:r>
      <w:r w:rsidRPr="00A43A17">
        <w:rPr>
          <w:rFonts w:ascii="Arial" w:hAnsi="Arial" w:cs="Arial"/>
          <w:sz w:val="24"/>
          <w:szCs w:val="24"/>
        </w:rPr>
        <w:t>basis</w:t>
      </w:r>
      <w:r w:rsidR="0039277E" w:rsidRPr="00A43A17">
        <w:rPr>
          <w:rFonts w:ascii="Arial" w:hAnsi="Arial" w:cs="Arial"/>
          <w:sz w:val="24"/>
          <w:szCs w:val="24"/>
        </w:rPr>
        <w:t>, or earlier should any change to relevant legislation or regulation require</w:t>
      </w:r>
      <w:r w:rsidR="00F45C53">
        <w:rPr>
          <w:rFonts w:ascii="Arial" w:hAnsi="Arial" w:cs="Arial"/>
          <w:sz w:val="24"/>
          <w:szCs w:val="24"/>
        </w:rPr>
        <w:t xml:space="preserve">. In the interim year the Trust Secretary, in consultation with the Committee Chair, will undertake a desktop review. </w:t>
      </w:r>
    </w:p>
    <w:p w14:paraId="4493586D" w14:textId="77777777" w:rsidR="00B870B3" w:rsidRPr="00A43A17" w:rsidRDefault="00B870B3" w:rsidP="00B870B3">
      <w:pPr>
        <w:spacing w:after="0" w:line="240" w:lineRule="auto"/>
        <w:jc w:val="both"/>
        <w:rPr>
          <w:rFonts w:ascii="Arial" w:hAnsi="Arial" w:cs="Arial"/>
          <w:sz w:val="24"/>
          <w:szCs w:val="24"/>
        </w:rPr>
      </w:pPr>
    </w:p>
    <w:p w14:paraId="7E2521B4" w14:textId="77777777" w:rsidR="005E66B0" w:rsidRPr="00A43A17" w:rsidRDefault="00B51D02" w:rsidP="00B870B3">
      <w:pPr>
        <w:spacing w:after="0" w:line="240" w:lineRule="auto"/>
        <w:jc w:val="both"/>
        <w:rPr>
          <w:rFonts w:ascii="Arial" w:hAnsi="Arial" w:cs="Arial"/>
          <w:sz w:val="24"/>
          <w:szCs w:val="24"/>
        </w:rPr>
      </w:pPr>
      <w:r w:rsidRPr="00A43A17">
        <w:rPr>
          <w:rFonts w:ascii="Arial" w:hAnsi="Arial" w:cs="Arial"/>
          <w:sz w:val="24"/>
          <w:szCs w:val="24"/>
        </w:rPr>
        <w:t>The Chair of the Committee shall attend meetings of the Council of Governors or its committees on request to enable the Council of Governors to perform its duty to hold the non-executive directors to account for the performance of the Board.</w:t>
      </w:r>
      <w:bookmarkStart w:id="1" w:name="_Hlk104459448"/>
      <w:bookmarkEnd w:id="0"/>
      <w:r w:rsidR="00D538BB" w:rsidRPr="00A43A17">
        <w:rPr>
          <w:rFonts w:ascii="Arial" w:hAnsi="Arial" w:cs="Arial"/>
          <w:sz w:val="24"/>
          <w:szCs w:val="24"/>
        </w:rPr>
        <w:t xml:space="preserve"> </w:t>
      </w:r>
    </w:p>
    <w:p w14:paraId="7C8A46B9" w14:textId="77777777" w:rsidR="005E66B0" w:rsidRPr="00A43A17" w:rsidRDefault="005E66B0" w:rsidP="00B870B3">
      <w:pPr>
        <w:spacing w:after="0" w:line="240" w:lineRule="auto"/>
        <w:jc w:val="both"/>
        <w:rPr>
          <w:rFonts w:ascii="Arial" w:hAnsi="Arial" w:cs="Arial"/>
          <w:sz w:val="24"/>
          <w:szCs w:val="24"/>
        </w:rPr>
      </w:pPr>
    </w:p>
    <w:bookmarkEnd w:id="1"/>
    <w:p w14:paraId="1EC97913" w14:textId="77777777" w:rsidR="00B870B3" w:rsidRPr="00A43A17" w:rsidRDefault="00B870B3" w:rsidP="00B870B3">
      <w:pPr>
        <w:spacing w:after="0" w:line="240" w:lineRule="auto"/>
        <w:jc w:val="both"/>
        <w:rPr>
          <w:rFonts w:ascii="Arial" w:hAnsi="Arial" w:cs="Arial"/>
          <w:b/>
          <w:bCs/>
          <w:sz w:val="24"/>
          <w:szCs w:val="24"/>
        </w:rPr>
      </w:pPr>
    </w:p>
    <w:p w14:paraId="362B1B4B" w14:textId="597CAB6E" w:rsidR="00697E7C" w:rsidRPr="00A43A17" w:rsidRDefault="00697E7C" w:rsidP="00B870B3">
      <w:pPr>
        <w:spacing w:after="0" w:line="240" w:lineRule="auto"/>
        <w:jc w:val="both"/>
        <w:rPr>
          <w:rFonts w:ascii="Arial" w:hAnsi="Arial" w:cs="Arial"/>
          <w:b/>
          <w:bCs/>
          <w:sz w:val="24"/>
          <w:szCs w:val="24"/>
        </w:rPr>
      </w:pPr>
      <w:r w:rsidRPr="00A43A17">
        <w:rPr>
          <w:rFonts w:ascii="Arial" w:hAnsi="Arial" w:cs="Arial"/>
          <w:b/>
          <w:bCs/>
          <w:sz w:val="24"/>
          <w:szCs w:val="24"/>
        </w:rPr>
        <w:t>FORMAL SUB-GROUPS</w:t>
      </w:r>
    </w:p>
    <w:p w14:paraId="2C97CAFD" w14:textId="77777777" w:rsidR="00B870B3" w:rsidRPr="00A43A17" w:rsidRDefault="00B870B3" w:rsidP="00B870B3">
      <w:pPr>
        <w:spacing w:after="0" w:line="240" w:lineRule="auto"/>
        <w:jc w:val="both"/>
        <w:rPr>
          <w:rFonts w:ascii="Arial" w:hAnsi="Arial" w:cs="Arial"/>
          <w:sz w:val="24"/>
          <w:szCs w:val="24"/>
        </w:rPr>
      </w:pPr>
    </w:p>
    <w:p w14:paraId="40E45620" w14:textId="77777777" w:rsidR="00805A4D" w:rsidRPr="00A43A17" w:rsidRDefault="00805A4D" w:rsidP="00805A4D">
      <w:pPr>
        <w:spacing w:after="0" w:line="240" w:lineRule="auto"/>
        <w:jc w:val="both"/>
        <w:rPr>
          <w:rFonts w:ascii="Arial" w:hAnsi="Arial" w:cs="Arial"/>
          <w:sz w:val="24"/>
          <w:szCs w:val="24"/>
        </w:rPr>
      </w:pPr>
      <w:r w:rsidRPr="00A43A17">
        <w:rPr>
          <w:rFonts w:ascii="Arial" w:hAnsi="Arial" w:cs="Arial"/>
          <w:sz w:val="24"/>
          <w:szCs w:val="24"/>
        </w:rPr>
        <w:t>In discharging these duties, the Committee will rely on structured assurance from designated executive delivery groups and will not substitute itself for operational management or programme governance.</w:t>
      </w:r>
    </w:p>
    <w:p w14:paraId="5970F846" w14:textId="12C8D502" w:rsidR="00805A4D" w:rsidRDefault="00805A4D" w:rsidP="00B870B3">
      <w:pPr>
        <w:spacing w:after="0" w:line="240" w:lineRule="auto"/>
        <w:jc w:val="both"/>
        <w:rPr>
          <w:rFonts w:ascii="Arial" w:hAnsi="Arial" w:cs="Arial"/>
          <w:sz w:val="24"/>
          <w:szCs w:val="24"/>
        </w:rPr>
      </w:pPr>
    </w:p>
    <w:p w14:paraId="21C7244C" w14:textId="1F784B85" w:rsidR="00697E7C" w:rsidRPr="00A43A17" w:rsidRDefault="00697E7C" w:rsidP="00B870B3">
      <w:pPr>
        <w:spacing w:after="0" w:line="240" w:lineRule="auto"/>
        <w:jc w:val="both"/>
        <w:rPr>
          <w:rFonts w:ascii="Arial" w:hAnsi="Arial" w:cs="Arial"/>
          <w:sz w:val="24"/>
          <w:szCs w:val="24"/>
        </w:rPr>
      </w:pPr>
      <w:r w:rsidRPr="00A43A17">
        <w:rPr>
          <w:rFonts w:ascii="Arial" w:hAnsi="Arial" w:cs="Arial"/>
          <w:sz w:val="24"/>
          <w:szCs w:val="24"/>
        </w:rPr>
        <w:t xml:space="preserve">Each sub-group </w:t>
      </w:r>
      <w:r w:rsidR="00C74B07" w:rsidRPr="00A43A17">
        <w:rPr>
          <w:rFonts w:ascii="Arial" w:hAnsi="Arial" w:cs="Arial"/>
          <w:sz w:val="24"/>
          <w:szCs w:val="24"/>
        </w:rPr>
        <w:t>reporting to</w:t>
      </w:r>
      <w:r w:rsidRPr="00A43A17">
        <w:rPr>
          <w:rFonts w:ascii="Arial" w:hAnsi="Arial" w:cs="Arial"/>
          <w:sz w:val="24"/>
          <w:szCs w:val="24"/>
        </w:rPr>
        <w:t xml:space="preserve"> the Committee</w:t>
      </w:r>
      <w:r w:rsidR="00692DAD">
        <w:rPr>
          <w:rFonts w:ascii="Arial" w:hAnsi="Arial" w:cs="Arial"/>
          <w:sz w:val="24"/>
          <w:szCs w:val="24"/>
        </w:rPr>
        <w:t>,(</w:t>
      </w:r>
      <w:r w:rsidR="00692DAD" w:rsidRPr="004C717E">
        <w:rPr>
          <w:rFonts w:ascii="Arial" w:hAnsi="Arial" w:cs="Arial"/>
          <w:sz w:val="24"/>
          <w:szCs w:val="24"/>
        </w:rPr>
        <w:t>to include any Group wholly owned subsidiary)</w:t>
      </w:r>
      <w:r w:rsidRPr="004C717E">
        <w:rPr>
          <w:rFonts w:ascii="Arial" w:hAnsi="Arial" w:cs="Arial"/>
          <w:sz w:val="24"/>
          <w:szCs w:val="24"/>
        </w:rPr>
        <w:t xml:space="preserve"> will </w:t>
      </w:r>
      <w:r w:rsidR="00C74B07" w:rsidRPr="004C717E">
        <w:rPr>
          <w:rFonts w:ascii="Arial" w:hAnsi="Arial" w:cs="Arial"/>
          <w:sz w:val="24"/>
          <w:szCs w:val="24"/>
        </w:rPr>
        <w:t>provide</w:t>
      </w:r>
      <w:r w:rsidRPr="004C717E">
        <w:rPr>
          <w:rFonts w:ascii="Arial" w:hAnsi="Arial" w:cs="Arial"/>
          <w:sz w:val="24"/>
          <w:szCs w:val="24"/>
        </w:rPr>
        <w:t xml:space="preserve"> a </w:t>
      </w:r>
      <w:r w:rsidR="00C74B07" w:rsidRPr="004C717E">
        <w:rPr>
          <w:rFonts w:ascii="Arial" w:hAnsi="Arial" w:cs="Arial"/>
          <w:sz w:val="24"/>
          <w:szCs w:val="24"/>
        </w:rPr>
        <w:t>K</w:t>
      </w:r>
      <w:r w:rsidRPr="004C717E">
        <w:rPr>
          <w:rFonts w:ascii="Arial" w:hAnsi="Arial" w:cs="Arial"/>
          <w:sz w:val="24"/>
          <w:szCs w:val="24"/>
        </w:rPr>
        <w:t xml:space="preserve">ey </w:t>
      </w:r>
      <w:r w:rsidR="00C74B07" w:rsidRPr="004C717E">
        <w:rPr>
          <w:rFonts w:ascii="Arial" w:hAnsi="Arial" w:cs="Arial"/>
          <w:sz w:val="24"/>
          <w:szCs w:val="24"/>
        </w:rPr>
        <w:t>I</w:t>
      </w:r>
      <w:r w:rsidRPr="004C717E">
        <w:rPr>
          <w:rFonts w:ascii="Arial" w:hAnsi="Arial" w:cs="Arial"/>
          <w:sz w:val="24"/>
          <w:szCs w:val="24"/>
        </w:rPr>
        <w:t xml:space="preserve">ssues and </w:t>
      </w:r>
      <w:r w:rsidR="00C74B07" w:rsidRPr="004C717E">
        <w:rPr>
          <w:rFonts w:ascii="Arial" w:hAnsi="Arial" w:cs="Arial"/>
          <w:sz w:val="24"/>
          <w:szCs w:val="24"/>
        </w:rPr>
        <w:t>A</w:t>
      </w:r>
      <w:r w:rsidRPr="004C717E">
        <w:rPr>
          <w:rFonts w:ascii="Arial" w:hAnsi="Arial" w:cs="Arial"/>
          <w:sz w:val="24"/>
          <w:szCs w:val="24"/>
        </w:rPr>
        <w:t>ssura</w:t>
      </w:r>
      <w:r w:rsidRPr="00A43A17">
        <w:rPr>
          <w:rFonts w:ascii="Arial" w:hAnsi="Arial" w:cs="Arial"/>
          <w:sz w:val="24"/>
          <w:szCs w:val="24"/>
        </w:rPr>
        <w:t xml:space="preserve">nce </w:t>
      </w:r>
      <w:r w:rsidR="00C74B07" w:rsidRPr="00A43A17">
        <w:rPr>
          <w:rFonts w:ascii="Arial" w:hAnsi="Arial" w:cs="Arial"/>
          <w:sz w:val="24"/>
          <w:szCs w:val="24"/>
        </w:rPr>
        <w:t>R</w:t>
      </w:r>
      <w:r w:rsidRPr="00A43A17">
        <w:rPr>
          <w:rFonts w:ascii="Arial" w:hAnsi="Arial" w:cs="Arial"/>
          <w:sz w:val="24"/>
          <w:szCs w:val="24"/>
        </w:rPr>
        <w:t>eport</w:t>
      </w:r>
      <w:r w:rsidR="006D7633" w:rsidRPr="00A43A17">
        <w:rPr>
          <w:rFonts w:ascii="Arial" w:hAnsi="Arial" w:cs="Arial"/>
          <w:sz w:val="24"/>
          <w:szCs w:val="24"/>
        </w:rPr>
        <w:t xml:space="preserve"> (4As)</w:t>
      </w:r>
      <w:r w:rsidRPr="00A43A17">
        <w:rPr>
          <w:rFonts w:ascii="Arial" w:hAnsi="Arial" w:cs="Arial"/>
          <w:sz w:val="24"/>
          <w:szCs w:val="24"/>
        </w:rPr>
        <w:t xml:space="preserve"> for consideration of any highlighted risks or decisions to be made. </w:t>
      </w:r>
      <w:r w:rsidR="006D7633" w:rsidRPr="00A43A17">
        <w:rPr>
          <w:rFonts w:ascii="Arial" w:hAnsi="Arial" w:cs="Arial"/>
          <w:sz w:val="24"/>
          <w:szCs w:val="24"/>
        </w:rPr>
        <w:t>The list of formal sub groups will be confirmed and maintained within the forward schedule of business.</w:t>
      </w:r>
    </w:p>
    <w:p w14:paraId="1A18D5DD" w14:textId="77777777" w:rsidR="005E66B0" w:rsidRPr="00A43A17" w:rsidRDefault="005E66B0" w:rsidP="005E66B0">
      <w:pPr>
        <w:pStyle w:val="ListParagraph"/>
        <w:spacing w:after="0" w:line="240" w:lineRule="auto"/>
        <w:ind w:left="360"/>
        <w:jc w:val="both"/>
        <w:rPr>
          <w:rFonts w:ascii="Arial" w:hAnsi="Arial" w:cs="Arial"/>
          <w:sz w:val="24"/>
          <w:szCs w:val="24"/>
        </w:rPr>
      </w:pPr>
    </w:p>
    <w:p w14:paraId="44613AFA" w14:textId="77777777" w:rsidR="00923E93" w:rsidRPr="00A43A17" w:rsidRDefault="00923E93" w:rsidP="00923E93">
      <w:pPr>
        <w:spacing w:after="0" w:line="240" w:lineRule="auto"/>
        <w:jc w:val="both"/>
        <w:rPr>
          <w:rFonts w:ascii="Arial" w:hAnsi="Arial" w:cs="Arial"/>
          <w:sz w:val="24"/>
          <w:szCs w:val="24"/>
        </w:rPr>
      </w:pPr>
    </w:p>
    <w:p w14:paraId="1646B9E5" w14:textId="77777777" w:rsidR="00923E93" w:rsidRPr="00A43A17" w:rsidRDefault="00923E93" w:rsidP="00923E93">
      <w:pPr>
        <w:spacing w:after="0" w:line="240" w:lineRule="auto"/>
        <w:jc w:val="both"/>
        <w:rPr>
          <w:rFonts w:ascii="Arial" w:hAnsi="Arial" w:cs="Arial"/>
          <w:sz w:val="24"/>
          <w:szCs w:val="24"/>
        </w:rPr>
      </w:pPr>
    </w:p>
    <w:p w14:paraId="2D355C25" w14:textId="3DA4D9BE" w:rsidR="00923E93" w:rsidRPr="00312858" w:rsidRDefault="00923E93" w:rsidP="00312858">
      <w:pPr>
        <w:pStyle w:val="ListParagraph"/>
        <w:spacing w:after="0" w:line="240" w:lineRule="auto"/>
        <w:ind w:left="360"/>
        <w:jc w:val="both"/>
      </w:pPr>
    </w:p>
    <w:sectPr w:rsidR="00923E93" w:rsidRPr="00312858" w:rsidSect="00020455">
      <w:headerReference w:type="default" r:id="rId7"/>
      <w:footerReference w:type="default" r:id="rId8"/>
      <w:pgSz w:w="11906" w:h="16838"/>
      <w:pgMar w:top="1440" w:right="1440" w:bottom="1440" w:left="1440"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D5F7" w14:textId="77777777" w:rsidR="007F1DDE" w:rsidRPr="00A43A17" w:rsidRDefault="007F1DDE" w:rsidP="00C4411E">
      <w:pPr>
        <w:spacing w:after="0" w:line="240" w:lineRule="auto"/>
      </w:pPr>
      <w:r w:rsidRPr="00A43A17">
        <w:separator/>
      </w:r>
    </w:p>
  </w:endnote>
  <w:endnote w:type="continuationSeparator" w:id="0">
    <w:p w14:paraId="2FE3FC7B" w14:textId="77777777" w:rsidR="007F1DDE" w:rsidRPr="00A43A17" w:rsidRDefault="007F1DDE" w:rsidP="00C4411E">
      <w:pPr>
        <w:spacing w:after="0" w:line="240" w:lineRule="auto"/>
      </w:pPr>
      <w:r w:rsidRPr="00A43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77889"/>
      <w:docPartObj>
        <w:docPartGallery w:val="Page Numbers (Bottom of Page)"/>
        <w:docPartUnique/>
      </w:docPartObj>
    </w:sdtPr>
    <w:sdtEndPr/>
    <w:sdtContent>
      <w:sdt>
        <w:sdtPr>
          <w:id w:val="-1769616900"/>
          <w:docPartObj>
            <w:docPartGallery w:val="Page Numbers (Top of Page)"/>
            <w:docPartUnique/>
          </w:docPartObj>
        </w:sdtPr>
        <w:sdtEndPr/>
        <w:sdtContent>
          <w:p w14:paraId="6AF734E7" w14:textId="2F6C6AB1" w:rsidR="00E842F6" w:rsidRPr="00A43A17" w:rsidRDefault="00B870B3" w:rsidP="00B870B3">
            <w:pPr>
              <w:pStyle w:val="Footer"/>
              <w:jc w:val="right"/>
            </w:pPr>
            <w:r w:rsidRPr="00A43A17">
              <w:rPr>
                <w:rFonts w:ascii="Arial" w:hAnsi="Arial" w:cs="Arial"/>
                <w:sz w:val="24"/>
                <w:szCs w:val="24"/>
              </w:rPr>
              <w:t xml:space="preserve">Page </w:t>
            </w:r>
            <w:r w:rsidRPr="00A43A17">
              <w:rPr>
                <w:rFonts w:ascii="Arial" w:hAnsi="Arial" w:cs="Arial"/>
                <w:b/>
                <w:bCs/>
                <w:sz w:val="24"/>
                <w:szCs w:val="24"/>
              </w:rPr>
              <w:fldChar w:fldCharType="begin"/>
            </w:r>
            <w:r w:rsidRPr="00A43A17">
              <w:rPr>
                <w:rFonts w:ascii="Arial" w:hAnsi="Arial" w:cs="Arial"/>
                <w:b/>
                <w:bCs/>
                <w:sz w:val="24"/>
                <w:szCs w:val="24"/>
              </w:rPr>
              <w:instrText xml:space="preserve"> PAGE </w:instrText>
            </w:r>
            <w:r w:rsidRPr="00A43A17">
              <w:rPr>
                <w:rFonts w:ascii="Arial" w:hAnsi="Arial" w:cs="Arial"/>
                <w:b/>
                <w:bCs/>
                <w:sz w:val="24"/>
                <w:szCs w:val="24"/>
              </w:rPr>
              <w:fldChar w:fldCharType="separate"/>
            </w:r>
            <w:r w:rsidRPr="00A43A17">
              <w:rPr>
                <w:rFonts w:ascii="Arial" w:hAnsi="Arial" w:cs="Arial"/>
                <w:b/>
                <w:bCs/>
                <w:sz w:val="24"/>
                <w:szCs w:val="24"/>
              </w:rPr>
              <w:t>2</w:t>
            </w:r>
            <w:r w:rsidRPr="00A43A17">
              <w:rPr>
                <w:rFonts w:ascii="Arial" w:hAnsi="Arial" w:cs="Arial"/>
                <w:b/>
                <w:bCs/>
                <w:sz w:val="24"/>
                <w:szCs w:val="24"/>
              </w:rPr>
              <w:fldChar w:fldCharType="end"/>
            </w:r>
            <w:r w:rsidRPr="00A43A17">
              <w:rPr>
                <w:rFonts w:ascii="Arial" w:hAnsi="Arial" w:cs="Arial"/>
                <w:sz w:val="24"/>
                <w:szCs w:val="24"/>
              </w:rPr>
              <w:t xml:space="preserve"> of </w:t>
            </w:r>
            <w:r w:rsidRPr="00A43A17">
              <w:rPr>
                <w:rFonts w:ascii="Arial" w:hAnsi="Arial" w:cs="Arial"/>
                <w:b/>
                <w:bCs/>
                <w:sz w:val="24"/>
                <w:szCs w:val="24"/>
              </w:rPr>
              <w:fldChar w:fldCharType="begin"/>
            </w:r>
            <w:r w:rsidRPr="00A43A17">
              <w:rPr>
                <w:rFonts w:ascii="Arial" w:hAnsi="Arial" w:cs="Arial"/>
                <w:b/>
                <w:bCs/>
                <w:sz w:val="24"/>
                <w:szCs w:val="24"/>
              </w:rPr>
              <w:instrText xml:space="preserve"> NUMPAGES  </w:instrText>
            </w:r>
            <w:r w:rsidRPr="00A43A17">
              <w:rPr>
                <w:rFonts w:ascii="Arial" w:hAnsi="Arial" w:cs="Arial"/>
                <w:b/>
                <w:bCs/>
                <w:sz w:val="24"/>
                <w:szCs w:val="24"/>
              </w:rPr>
              <w:fldChar w:fldCharType="separate"/>
            </w:r>
            <w:r w:rsidRPr="00A43A17">
              <w:rPr>
                <w:rFonts w:ascii="Arial" w:hAnsi="Arial" w:cs="Arial"/>
                <w:b/>
                <w:bCs/>
                <w:sz w:val="24"/>
                <w:szCs w:val="24"/>
              </w:rPr>
              <w:t>2</w:t>
            </w:r>
            <w:r w:rsidRPr="00A43A1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1076" w14:textId="77777777" w:rsidR="007F1DDE" w:rsidRPr="00A43A17" w:rsidRDefault="007F1DDE" w:rsidP="00C4411E">
      <w:pPr>
        <w:spacing w:after="0" w:line="240" w:lineRule="auto"/>
      </w:pPr>
      <w:r w:rsidRPr="00A43A17">
        <w:separator/>
      </w:r>
    </w:p>
  </w:footnote>
  <w:footnote w:type="continuationSeparator" w:id="0">
    <w:p w14:paraId="7A3F691D" w14:textId="77777777" w:rsidR="007F1DDE" w:rsidRPr="00A43A17" w:rsidRDefault="007F1DDE" w:rsidP="00C4411E">
      <w:pPr>
        <w:spacing w:after="0" w:line="240" w:lineRule="auto"/>
      </w:pPr>
      <w:r w:rsidRPr="00A43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D21E" w14:textId="3844FD5C" w:rsidR="00B073C0" w:rsidRPr="00A43A17" w:rsidRDefault="00F122A6">
    <w:pPr>
      <w:pStyle w:val="Header"/>
    </w:pPr>
    <w:sdt>
      <w:sdtPr>
        <w:id w:val="-1821341039"/>
        <w:docPartObj>
          <w:docPartGallery w:val="Watermarks"/>
          <w:docPartUnique/>
        </w:docPartObj>
      </w:sdtPr>
      <w:sdtEndPr/>
      <w:sdtContent>
        <w:r>
          <w:pict w14:anchorId="08E8A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0B9C" w:rsidRPr="00A43A17">
      <w:rPr>
        <w:noProof/>
      </w:rPr>
      <w:drawing>
        <wp:anchor distT="0" distB="0" distL="114300" distR="114300" simplePos="0" relativeHeight="251657216" behindDoc="0" locked="0" layoutInCell="1" allowOverlap="1" wp14:anchorId="23A1F5E4" wp14:editId="58973D60">
          <wp:simplePos x="0" y="0"/>
          <wp:positionH relativeFrom="margin">
            <wp:align>right</wp:align>
          </wp:positionH>
          <wp:positionV relativeFrom="paragraph">
            <wp:posOffset>126365</wp:posOffset>
          </wp:positionV>
          <wp:extent cx="1865630" cy="520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9944"/>
                  <a:stretch>
                    <a:fillRect/>
                  </a:stretch>
                </pic:blipFill>
                <pic:spPr bwMode="auto">
                  <a:xfrm>
                    <a:off x="0" y="0"/>
                    <a:ext cx="186563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911" w:rsidRPr="00A43A17">
      <w:tab/>
    </w:r>
    <w:r w:rsidR="008F6911" w:rsidRPr="00A43A17">
      <w:tab/>
    </w:r>
    <w:r w:rsidR="00B073C0" w:rsidRPr="00A43A17">
      <w:tab/>
    </w:r>
    <w:r w:rsidR="00B073C0" w:rsidRPr="00A43A17">
      <w:tab/>
    </w:r>
  </w:p>
  <w:p w14:paraId="3AB89840" w14:textId="4E8A204C" w:rsidR="00152C78" w:rsidRPr="00A43A17" w:rsidRDefault="00152C78">
    <w:pPr>
      <w:pStyle w:val="Header"/>
    </w:pPr>
    <w:r w:rsidRPr="00A43A17">
      <w:tab/>
    </w:r>
    <w:r w:rsidRPr="00A43A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640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D141E"/>
    <w:multiLevelType w:val="multilevel"/>
    <w:tmpl w:val="1EACFF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C2EE3"/>
    <w:multiLevelType w:val="hybridMultilevel"/>
    <w:tmpl w:val="2F322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35E95"/>
    <w:multiLevelType w:val="hybridMultilevel"/>
    <w:tmpl w:val="C6CAD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33EF1"/>
    <w:multiLevelType w:val="hybridMultilevel"/>
    <w:tmpl w:val="C16E1E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07" w:hanging="360"/>
      </w:pPr>
      <w:rPr>
        <w:rFonts w:ascii="Courier New" w:hAnsi="Courier New" w:cs="Courier New" w:hint="default"/>
      </w:rPr>
    </w:lvl>
    <w:lvl w:ilvl="2" w:tplc="08090005" w:tentative="1">
      <w:start w:val="1"/>
      <w:numFmt w:val="bullet"/>
      <w:lvlText w:val=""/>
      <w:lvlJc w:val="left"/>
      <w:pPr>
        <w:ind w:left="513" w:hanging="360"/>
      </w:pPr>
      <w:rPr>
        <w:rFonts w:ascii="Wingdings" w:hAnsi="Wingdings" w:hint="default"/>
      </w:rPr>
    </w:lvl>
    <w:lvl w:ilvl="3" w:tplc="08090001" w:tentative="1">
      <w:start w:val="1"/>
      <w:numFmt w:val="bullet"/>
      <w:lvlText w:val=""/>
      <w:lvlJc w:val="left"/>
      <w:pPr>
        <w:ind w:left="1233" w:hanging="360"/>
      </w:pPr>
      <w:rPr>
        <w:rFonts w:ascii="Symbol" w:hAnsi="Symbol" w:hint="default"/>
      </w:rPr>
    </w:lvl>
    <w:lvl w:ilvl="4" w:tplc="08090003" w:tentative="1">
      <w:start w:val="1"/>
      <w:numFmt w:val="bullet"/>
      <w:lvlText w:val="o"/>
      <w:lvlJc w:val="left"/>
      <w:pPr>
        <w:ind w:left="1953" w:hanging="360"/>
      </w:pPr>
      <w:rPr>
        <w:rFonts w:ascii="Courier New" w:hAnsi="Courier New" w:cs="Courier New" w:hint="default"/>
      </w:rPr>
    </w:lvl>
    <w:lvl w:ilvl="5" w:tplc="08090005" w:tentative="1">
      <w:start w:val="1"/>
      <w:numFmt w:val="bullet"/>
      <w:lvlText w:val=""/>
      <w:lvlJc w:val="left"/>
      <w:pPr>
        <w:ind w:left="2673" w:hanging="360"/>
      </w:pPr>
      <w:rPr>
        <w:rFonts w:ascii="Wingdings" w:hAnsi="Wingdings" w:hint="default"/>
      </w:rPr>
    </w:lvl>
    <w:lvl w:ilvl="6" w:tplc="08090001" w:tentative="1">
      <w:start w:val="1"/>
      <w:numFmt w:val="bullet"/>
      <w:lvlText w:val=""/>
      <w:lvlJc w:val="left"/>
      <w:pPr>
        <w:ind w:left="3393" w:hanging="360"/>
      </w:pPr>
      <w:rPr>
        <w:rFonts w:ascii="Symbol" w:hAnsi="Symbol" w:hint="default"/>
      </w:rPr>
    </w:lvl>
    <w:lvl w:ilvl="7" w:tplc="08090003" w:tentative="1">
      <w:start w:val="1"/>
      <w:numFmt w:val="bullet"/>
      <w:lvlText w:val="o"/>
      <w:lvlJc w:val="left"/>
      <w:pPr>
        <w:ind w:left="4113" w:hanging="360"/>
      </w:pPr>
      <w:rPr>
        <w:rFonts w:ascii="Courier New" w:hAnsi="Courier New" w:cs="Courier New" w:hint="default"/>
      </w:rPr>
    </w:lvl>
    <w:lvl w:ilvl="8" w:tplc="08090005" w:tentative="1">
      <w:start w:val="1"/>
      <w:numFmt w:val="bullet"/>
      <w:lvlText w:val=""/>
      <w:lvlJc w:val="left"/>
      <w:pPr>
        <w:ind w:left="4833" w:hanging="360"/>
      </w:pPr>
      <w:rPr>
        <w:rFonts w:ascii="Wingdings" w:hAnsi="Wingdings" w:hint="default"/>
      </w:rPr>
    </w:lvl>
  </w:abstractNum>
  <w:abstractNum w:abstractNumId="5" w15:restartNumberingAfterBreak="0">
    <w:nsid w:val="1BF37BEA"/>
    <w:multiLevelType w:val="hybridMultilevel"/>
    <w:tmpl w:val="2EE6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6036E"/>
    <w:multiLevelType w:val="hybridMultilevel"/>
    <w:tmpl w:val="68C0EFC2"/>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352B2"/>
    <w:multiLevelType w:val="multilevel"/>
    <w:tmpl w:val="67E0543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AE0EB0"/>
    <w:multiLevelType w:val="hybridMultilevel"/>
    <w:tmpl w:val="35E4B7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A5A23"/>
    <w:multiLevelType w:val="hybridMultilevel"/>
    <w:tmpl w:val="14A8E5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82447D"/>
    <w:multiLevelType w:val="hybridMultilevel"/>
    <w:tmpl w:val="7DF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111E5"/>
    <w:multiLevelType w:val="hybridMultilevel"/>
    <w:tmpl w:val="49A47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295514"/>
    <w:multiLevelType w:val="hybridMultilevel"/>
    <w:tmpl w:val="638454E0"/>
    <w:lvl w:ilvl="0" w:tplc="08090017">
      <w:start w:val="1"/>
      <w:numFmt w:val="lowerLetter"/>
      <w:lvlText w:val="%1)"/>
      <w:lvlJc w:val="left"/>
      <w:pPr>
        <w:ind w:left="360" w:hanging="360"/>
      </w:pPr>
      <w:rPr>
        <w:b w:val="0"/>
        <w:bCs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DD14AC7"/>
    <w:multiLevelType w:val="hybridMultilevel"/>
    <w:tmpl w:val="133E9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520AA"/>
    <w:multiLevelType w:val="hybridMultilevel"/>
    <w:tmpl w:val="700860AE"/>
    <w:lvl w:ilvl="0" w:tplc="8F66A4CE">
      <w:start w:val="1"/>
      <w:numFmt w:val="lowerLetter"/>
      <w:lvlText w:val="%1."/>
      <w:lvlJc w:val="left"/>
      <w:pPr>
        <w:ind w:left="589" w:hanging="360"/>
      </w:pPr>
      <w:rPr>
        <w:b w:val="0"/>
        <w:bCs w:val="0"/>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15" w15:restartNumberingAfterBreak="0">
    <w:nsid w:val="4A265CA1"/>
    <w:multiLevelType w:val="hybridMultilevel"/>
    <w:tmpl w:val="899CB8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151941"/>
    <w:multiLevelType w:val="hybridMultilevel"/>
    <w:tmpl w:val="60680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5669EE"/>
    <w:multiLevelType w:val="hybridMultilevel"/>
    <w:tmpl w:val="37CAAB06"/>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4080DAA"/>
    <w:multiLevelType w:val="hybridMultilevel"/>
    <w:tmpl w:val="65D295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3">
      <w:start w:val="1"/>
      <w:numFmt w:val="bullet"/>
      <w:lvlText w:val="o"/>
      <w:lvlJc w:val="left"/>
      <w:pPr>
        <w:ind w:left="785"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E26174"/>
    <w:multiLevelType w:val="hybridMultilevel"/>
    <w:tmpl w:val="F37E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F2E0B"/>
    <w:multiLevelType w:val="hybridMultilevel"/>
    <w:tmpl w:val="3AEA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D0CA7"/>
    <w:multiLevelType w:val="hybridMultilevel"/>
    <w:tmpl w:val="056EA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6D53B0"/>
    <w:multiLevelType w:val="hybridMultilevel"/>
    <w:tmpl w:val="B4E2F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87251B"/>
    <w:multiLevelType w:val="multilevel"/>
    <w:tmpl w:val="4EFA2CB4"/>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725F5F"/>
    <w:multiLevelType w:val="multilevel"/>
    <w:tmpl w:val="199AAF3E"/>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194950"/>
    <w:multiLevelType w:val="hybridMultilevel"/>
    <w:tmpl w:val="797A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3951233">
    <w:abstractNumId w:val="1"/>
  </w:num>
  <w:num w:numId="2" w16cid:durableId="1245534171">
    <w:abstractNumId w:val="6"/>
  </w:num>
  <w:num w:numId="3" w16cid:durableId="475950798">
    <w:abstractNumId w:val="7"/>
  </w:num>
  <w:num w:numId="4" w16cid:durableId="1483624011">
    <w:abstractNumId w:val="24"/>
  </w:num>
  <w:num w:numId="5" w16cid:durableId="1088379314">
    <w:abstractNumId w:val="23"/>
  </w:num>
  <w:num w:numId="6" w16cid:durableId="83499271">
    <w:abstractNumId w:val="17"/>
  </w:num>
  <w:num w:numId="7" w16cid:durableId="1828014668">
    <w:abstractNumId w:val="18"/>
  </w:num>
  <w:num w:numId="8" w16cid:durableId="337345193">
    <w:abstractNumId w:val="3"/>
  </w:num>
  <w:num w:numId="9" w16cid:durableId="1394306967">
    <w:abstractNumId w:val="11"/>
  </w:num>
  <w:num w:numId="10" w16cid:durableId="2041784734">
    <w:abstractNumId w:val="16"/>
  </w:num>
  <w:num w:numId="11" w16cid:durableId="2143107079">
    <w:abstractNumId w:val="13"/>
  </w:num>
  <w:num w:numId="12" w16cid:durableId="1837067288">
    <w:abstractNumId w:val="15"/>
  </w:num>
  <w:num w:numId="13" w16cid:durableId="601649701">
    <w:abstractNumId w:val="2"/>
  </w:num>
  <w:num w:numId="14" w16cid:durableId="133570013">
    <w:abstractNumId w:val="9"/>
  </w:num>
  <w:num w:numId="15" w16cid:durableId="1112820323">
    <w:abstractNumId w:val="8"/>
  </w:num>
  <w:num w:numId="16" w16cid:durableId="2065324591">
    <w:abstractNumId w:val="10"/>
  </w:num>
  <w:num w:numId="17" w16cid:durableId="712387759">
    <w:abstractNumId w:val="19"/>
  </w:num>
  <w:num w:numId="18" w16cid:durableId="1634941189">
    <w:abstractNumId w:val="22"/>
  </w:num>
  <w:num w:numId="19" w16cid:durableId="672532044">
    <w:abstractNumId w:val="14"/>
  </w:num>
  <w:num w:numId="20" w16cid:durableId="1708023802">
    <w:abstractNumId w:val="4"/>
  </w:num>
  <w:num w:numId="21" w16cid:durableId="178080988">
    <w:abstractNumId w:val="21"/>
  </w:num>
  <w:num w:numId="22" w16cid:durableId="931813886">
    <w:abstractNumId w:val="20"/>
  </w:num>
  <w:num w:numId="23" w16cid:durableId="44641877">
    <w:abstractNumId w:val="5"/>
  </w:num>
  <w:num w:numId="24" w16cid:durableId="534198723">
    <w:abstractNumId w:val="12"/>
  </w:num>
  <w:num w:numId="25" w16cid:durableId="371459451">
    <w:abstractNumId w:val="25"/>
  </w:num>
  <w:num w:numId="26" w16cid:durableId="125150114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1E"/>
    <w:rsid w:val="00003762"/>
    <w:rsid w:val="00012FB8"/>
    <w:rsid w:val="00020455"/>
    <w:rsid w:val="00070A24"/>
    <w:rsid w:val="00073864"/>
    <w:rsid w:val="00077AA1"/>
    <w:rsid w:val="00081855"/>
    <w:rsid w:val="00094A05"/>
    <w:rsid w:val="000A37D3"/>
    <w:rsid w:val="000A6E5C"/>
    <w:rsid w:val="000B644F"/>
    <w:rsid w:val="000D14B5"/>
    <w:rsid w:val="000D24E4"/>
    <w:rsid w:val="000D6242"/>
    <w:rsid w:val="000E37AE"/>
    <w:rsid w:val="000E7547"/>
    <w:rsid w:val="000F17BB"/>
    <w:rsid w:val="000F18B4"/>
    <w:rsid w:val="000F3A32"/>
    <w:rsid w:val="00132DEB"/>
    <w:rsid w:val="00147786"/>
    <w:rsid w:val="00152C78"/>
    <w:rsid w:val="00156B0E"/>
    <w:rsid w:val="00163222"/>
    <w:rsid w:val="00165F8F"/>
    <w:rsid w:val="00172151"/>
    <w:rsid w:val="00174847"/>
    <w:rsid w:val="001A6C53"/>
    <w:rsid w:val="001B09BB"/>
    <w:rsid w:val="001B7313"/>
    <w:rsid w:val="001D36D5"/>
    <w:rsid w:val="001D5D14"/>
    <w:rsid w:val="001F1B4E"/>
    <w:rsid w:val="002015E0"/>
    <w:rsid w:val="00211386"/>
    <w:rsid w:val="00232194"/>
    <w:rsid w:val="002377F8"/>
    <w:rsid w:val="0024633A"/>
    <w:rsid w:val="0025703A"/>
    <w:rsid w:val="00271D6F"/>
    <w:rsid w:val="00274883"/>
    <w:rsid w:val="00274D84"/>
    <w:rsid w:val="00275957"/>
    <w:rsid w:val="0028098B"/>
    <w:rsid w:val="00286697"/>
    <w:rsid w:val="0029094A"/>
    <w:rsid w:val="00294423"/>
    <w:rsid w:val="00295F0E"/>
    <w:rsid w:val="002A4928"/>
    <w:rsid w:val="002A5877"/>
    <w:rsid w:val="002A6D0F"/>
    <w:rsid w:val="002B669A"/>
    <w:rsid w:val="002C2467"/>
    <w:rsid w:val="002C26D3"/>
    <w:rsid w:val="002C4269"/>
    <w:rsid w:val="002E0F4B"/>
    <w:rsid w:val="002E2DCC"/>
    <w:rsid w:val="002F4355"/>
    <w:rsid w:val="002F607E"/>
    <w:rsid w:val="002F66EE"/>
    <w:rsid w:val="00312858"/>
    <w:rsid w:val="00313B74"/>
    <w:rsid w:val="00314450"/>
    <w:rsid w:val="00316CB1"/>
    <w:rsid w:val="003172DE"/>
    <w:rsid w:val="00337B76"/>
    <w:rsid w:val="0037316E"/>
    <w:rsid w:val="0038785E"/>
    <w:rsid w:val="0039212A"/>
    <w:rsid w:val="0039277E"/>
    <w:rsid w:val="003A224B"/>
    <w:rsid w:val="003B38F7"/>
    <w:rsid w:val="003B6B58"/>
    <w:rsid w:val="003D1B9E"/>
    <w:rsid w:val="003D2D6E"/>
    <w:rsid w:val="003E5286"/>
    <w:rsid w:val="00400717"/>
    <w:rsid w:val="00407027"/>
    <w:rsid w:val="00417883"/>
    <w:rsid w:val="004250BA"/>
    <w:rsid w:val="00435086"/>
    <w:rsid w:val="00443130"/>
    <w:rsid w:val="00447F27"/>
    <w:rsid w:val="00453F09"/>
    <w:rsid w:val="00455FDB"/>
    <w:rsid w:val="00461DEB"/>
    <w:rsid w:val="00464114"/>
    <w:rsid w:val="00480537"/>
    <w:rsid w:val="00491A65"/>
    <w:rsid w:val="00493A0C"/>
    <w:rsid w:val="004A4E48"/>
    <w:rsid w:val="004B0A30"/>
    <w:rsid w:val="004B2484"/>
    <w:rsid w:val="004C717E"/>
    <w:rsid w:val="004D5A32"/>
    <w:rsid w:val="004E1B62"/>
    <w:rsid w:val="004E3C9F"/>
    <w:rsid w:val="004F3576"/>
    <w:rsid w:val="00531F7E"/>
    <w:rsid w:val="00536F76"/>
    <w:rsid w:val="00556215"/>
    <w:rsid w:val="00556F46"/>
    <w:rsid w:val="00561E65"/>
    <w:rsid w:val="00571C93"/>
    <w:rsid w:val="00596DE1"/>
    <w:rsid w:val="005C330F"/>
    <w:rsid w:val="005D08A1"/>
    <w:rsid w:val="005E0BF4"/>
    <w:rsid w:val="005E66B0"/>
    <w:rsid w:val="005F07DC"/>
    <w:rsid w:val="005F5198"/>
    <w:rsid w:val="005F70AB"/>
    <w:rsid w:val="006033F9"/>
    <w:rsid w:val="0061050B"/>
    <w:rsid w:val="00623270"/>
    <w:rsid w:val="006256D9"/>
    <w:rsid w:val="0062588F"/>
    <w:rsid w:val="006374D1"/>
    <w:rsid w:val="00644C55"/>
    <w:rsid w:val="00650B9C"/>
    <w:rsid w:val="00654332"/>
    <w:rsid w:val="0065519B"/>
    <w:rsid w:val="006737F8"/>
    <w:rsid w:val="00685565"/>
    <w:rsid w:val="00692DAD"/>
    <w:rsid w:val="00697E7C"/>
    <w:rsid w:val="006A081B"/>
    <w:rsid w:val="006A57C5"/>
    <w:rsid w:val="006A727C"/>
    <w:rsid w:val="006B0892"/>
    <w:rsid w:val="006C3556"/>
    <w:rsid w:val="006D7633"/>
    <w:rsid w:val="006F1262"/>
    <w:rsid w:val="006F6401"/>
    <w:rsid w:val="00706BD5"/>
    <w:rsid w:val="007106D9"/>
    <w:rsid w:val="00712AC7"/>
    <w:rsid w:val="00712ACD"/>
    <w:rsid w:val="0071599C"/>
    <w:rsid w:val="00720042"/>
    <w:rsid w:val="00723EF4"/>
    <w:rsid w:val="007268BA"/>
    <w:rsid w:val="00732FA6"/>
    <w:rsid w:val="00760FB1"/>
    <w:rsid w:val="0076163A"/>
    <w:rsid w:val="00765186"/>
    <w:rsid w:val="00766122"/>
    <w:rsid w:val="00766C33"/>
    <w:rsid w:val="007870D1"/>
    <w:rsid w:val="007907E3"/>
    <w:rsid w:val="00797128"/>
    <w:rsid w:val="007C4687"/>
    <w:rsid w:val="007C5B22"/>
    <w:rsid w:val="007E17EC"/>
    <w:rsid w:val="007E51A5"/>
    <w:rsid w:val="007F1DDE"/>
    <w:rsid w:val="007F4713"/>
    <w:rsid w:val="00805A4D"/>
    <w:rsid w:val="0081124E"/>
    <w:rsid w:val="0082178C"/>
    <w:rsid w:val="0082520C"/>
    <w:rsid w:val="00841396"/>
    <w:rsid w:val="00842BF4"/>
    <w:rsid w:val="00847A22"/>
    <w:rsid w:val="008817E5"/>
    <w:rsid w:val="00891CC6"/>
    <w:rsid w:val="00891D8E"/>
    <w:rsid w:val="008924B1"/>
    <w:rsid w:val="00897E5F"/>
    <w:rsid w:val="008A1446"/>
    <w:rsid w:val="008B4BDA"/>
    <w:rsid w:val="008B7CEE"/>
    <w:rsid w:val="008C2759"/>
    <w:rsid w:val="008C4669"/>
    <w:rsid w:val="008E0001"/>
    <w:rsid w:val="008F6911"/>
    <w:rsid w:val="00900181"/>
    <w:rsid w:val="0090452C"/>
    <w:rsid w:val="0092274C"/>
    <w:rsid w:val="00923E93"/>
    <w:rsid w:val="00924FED"/>
    <w:rsid w:val="00930A95"/>
    <w:rsid w:val="00933A9C"/>
    <w:rsid w:val="00942A38"/>
    <w:rsid w:val="009577D0"/>
    <w:rsid w:val="00963B79"/>
    <w:rsid w:val="009B482E"/>
    <w:rsid w:val="009B7E44"/>
    <w:rsid w:val="009B7FE2"/>
    <w:rsid w:val="009C182D"/>
    <w:rsid w:val="009C6653"/>
    <w:rsid w:val="009D1D43"/>
    <w:rsid w:val="009D68BA"/>
    <w:rsid w:val="009E3281"/>
    <w:rsid w:val="009F04D0"/>
    <w:rsid w:val="009F71F9"/>
    <w:rsid w:val="00A007A1"/>
    <w:rsid w:val="00A106F2"/>
    <w:rsid w:val="00A1298A"/>
    <w:rsid w:val="00A14C6A"/>
    <w:rsid w:val="00A24AA5"/>
    <w:rsid w:val="00A31ED4"/>
    <w:rsid w:val="00A43A17"/>
    <w:rsid w:val="00A50253"/>
    <w:rsid w:val="00A5314F"/>
    <w:rsid w:val="00A76EB2"/>
    <w:rsid w:val="00A82306"/>
    <w:rsid w:val="00A8799F"/>
    <w:rsid w:val="00A96C45"/>
    <w:rsid w:val="00AA1A83"/>
    <w:rsid w:val="00AA75F6"/>
    <w:rsid w:val="00AB04E0"/>
    <w:rsid w:val="00AB09E3"/>
    <w:rsid w:val="00AB4C95"/>
    <w:rsid w:val="00AC03E5"/>
    <w:rsid w:val="00AC0C74"/>
    <w:rsid w:val="00AC4786"/>
    <w:rsid w:val="00AC6EB8"/>
    <w:rsid w:val="00AE22EB"/>
    <w:rsid w:val="00AE5984"/>
    <w:rsid w:val="00AF1F39"/>
    <w:rsid w:val="00AF3DED"/>
    <w:rsid w:val="00AF558F"/>
    <w:rsid w:val="00B020A0"/>
    <w:rsid w:val="00B0379D"/>
    <w:rsid w:val="00B073C0"/>
    <w:rsid w:val="00B143BF"/>
    <w:rsid w:val="00B30B7E"/>
    <w:rsid w:val="00B46A03"/>
    <w:rsid w:val="00B51D02"/>
    <w:rsid w:val="00B62E5E"/>
    <w:rsid w:val="00B638CF"/>
    <w:rsid w:val="00B64BA7"/>
    <w:rsid w:val="00B6752A"/>
    <w:rsid w:val="00B70785"/>
    <w:rsid w:val="00B870B3"/>
    <w:rsid w:val="00B87D64"/>
    <w:rsid w:val="00B93815"/>
    <w:rsid w:val="00B956EC"/>
    <w:rsid w:val="00BA5D20"/>
    <w:rsid w:val="00BB06E3"/>
    <w:rsid w:val="00BC5ACD"/>
    <w:rsid w:val="00BD5478"/>
    <w:rsid w:val="00BE05B5"/>
    <w:rsid w:val="00BE06A1"/>
    <w:rsid w:val="00BE37EA"/>
    <w:rsid w:val="00C25353"/>
    <w:rsid w:val="00C267CA"/>
    <w:rsid w:val="00C31907"/>
    <w:rsid w:val="00C42837"/>
    <w:rsid w:val="00C4411E"/>
    <w:rsid w:val="00C60213"/>
    <w:rsid w:val="00C60A0C"/>
    <w:rsid w:val="00C74B07"/>
    <w:rsid w:val="00C76850"/>
    <w:rsid w:val="00C87C00"/>
    <w:rsid w:val="00CA2DD1"/>
    <w:rsid w:val="00CB0D6E"/>
    <w:rsid w:val="00CB4887"/>
    <w:rsid w:val="00CC5BCC"/>
    <w:rsid w:val="00CC7E5A"/>
    <w:rsid w:val="00CE302D"/>
    <w:rsid w:val="00CE4E6F"/>
    <w:rsid w:val="00CE7C6D"/>
    <w:rsid w:val="00D11E37"/>
    <w:rsid w:val="00D14649"/>
    <w:rsid w:val="00D16485"/>
    <w:rsid w:val="00D2208A"/>
    <w:rsid w:val="00D34FAA"/>
    <w:rsid w:val="00D4770A"/>
    <w:rsid w:val="00D538BB"/>
    <w:rsid w:val="00D64D23"/>
    <w:rsid w:val="00D6691E"/>
    <w:rsid w:val="00D808BF"/>
    <w:rsid w:val="00D8102E"/>
    <w:rsid w:val="00D92C7F"/>
    <w:rsid w:val="00D960DF"/>
    <w:rsid w:val="00D965B2"/>
    <w:rsid w:val="00DA16E8"/>
    <w:rsid w:val="00DA25AF"/>
    <w:rsid w:val="00DA3EA4"/>
    <w:rsid w:val="00DA4369"/>
    <w:rsid w:val="00DC0476"/>
    <w:rsid w:val="00DC374C"/>
    <w:rsid w:val="00DC4454"/>
    <w:rsid w:val="00DD6AE2"/>
    <w:rsid w:val="00E007C5"/>
    <w:rsid w:val="00E23BBA"/>
    <w:rsid w:val="00E31256"/>
    <w:rsid w:val="00E35ECE"/>
    <w:rsid w:val="00E43D28"/>
    <w:rsid w:val="00E50CDC"/>
    <w:rsid w:val="00E72615"/>
    <w:rsid w:val="00E7401A"/>
    <w:rsid w:val="00E75F35"/>
    <w:rsid w:val="00E842F6"/>
    <w:rsid w:val="00E94E1A"/>
    <w:rsid w:val="00E96365"/>
    <w:rsid w:val="00EA0559"/>
    <w:rsid w:val="00EA2507"/>
    <w:rsid w:val="00EA47A8"/>
    <w:rsid w:val="00EA4E1A"/>
    <w:rsid w:val="00EB578D"/>
    <w:rsid w:val="00EB6631"/>
    <w:rsid w:val="00ED16B9"/>
    <w:rsid w:val="00EE6486"/>
    <w:rsid w:val="00EF1BE1"/>
    <w:rsid w:val="00EF4561"/>
    <w:rsid w:val="00EF7EE7"/>
    <w:rsid w:val="00F122A6"/>
    <w:rsid w:val="00F12644"/>
    <w:rsid w:val="00F12808"/>
    <w:rsid w:val="00F15185"/>
    <w:rsid w:val="00F15F12"/>
    <w:rsid w:val="00F2546D"/>
    <w:rsid w:val="00F26C31"/>
    <w:rsid w:val="00F3279F"/>
    <w:rsid w:val="00F45939"/>
    <w:rsid w:val="00F45C53"/>
    <w:rsid w:val="00F46400"/>
    <w:rsid w:val="00F512C1"/>
    <w:rsid w:val="00F541C8"/>
    <w:rsid w:val="00F562C9"/>
    <w:rsid w:val="00F563AC"/>
    <w:rsid w:val="00F63A81"/>
    <w:rsid w:val="00F63BC0"/>
    <w:rsid w:val="00F67209"/>
    <w:rsid w:val="00F73A25"/>
    <w:rsid w:val="00F83DCC"/>
    <w:rsid w:val="00F87357"/>
    <w:rsid w:val="00F94A3C"/>
    <w:rsid w:val="00F968BC"/>
    <w:rsid w:val="00FB4590"/>
    <w:rsid w:val="00FD72D9"/>
    <w:rsid w:val="00FE1485"/>
    <w:rsid w:val="00FE5179"/>
    <w:rsid w:val="00FF43DA"/>
    <w:rsid w:val="00FF509D"/>
    <w:rsid w:val="00FF5FF2"/>
    <w:rsid w:val="00FF69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207C7"/>
  <w15:docId w15:val="{61978418-8935-4524-9FF5-82CE1583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1E"/>
  </w:style>
  <w:style w:type="paragraph" w:styleId="Footer">
    <w:name w:val="footer"/>
    <w:basedOn w:val="Normal"/>
    <w:link w:val="FooterChar"/>
    <w:uiPriority w:val="99"/>
    <w:unhideWhenUsed/>
    <w:rsid w:val="00C44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1E"/>
  </w:style>
  <w:style w:type="paragraph" w:styleId="BalloonText">
    <w:name w:val="Balloon Text"/>
    <w:basedOn w:val="Normal"/>
    <w:link w:val="BalloonTextChar"/>
    <w:uiPriority w:val="99"/>
    <w:semiHidden/>
    <w:unhideWhenUsed/>
    <w:rsid w:val="00C4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1E"/>
    <w:rPr>
      <w:rFonts w:ascii="Tahoma" w:hAnsi="Tahoma" w:cs="Tahoma"/>
      <w:sz w:val="16"/>
      <w:szCs w:val="16"/>
    </w:rPr>
  </w:style>
  <w:style w:type="paragraph" w:styleId="ListParagraph">
    <w:name w:val="List Paragraph"/>
    <w:basedOn w:val="Normal"/>
    <w:uiPriority w:val="34"/>
    <w:qFormat/>
    <w:rsid w:val="00C4411E"/>
    <w:pPr>
      <w:ind w:left="720"/>
      <w:contextualSpacing/>
    </w:pPr>
  </w:style>
  <w:style w:type="character" w:styleId="CommentReference">
    <w:name w:val="annotation reference"/>
    <w:basedOn w:val="DefaultParagraphFont"/>
    <w:uiPriority w:val="99"/>
    <w:semiHidden/>
    <w:unhideWhenUsed/>
    <w:rsid w:val="005F07DC"/>
    <w:rPr>
      <w:sz w:val="16"/>
      <w:szCs w:val="16"/>
    </w:rPr>
  </w:style>
  <w:style w:type="paragraph" w:styleId="CommentText">
    <w:name w:val="annotation text"/>
    <w:basedOn w:val="Normal"/>
    <w:link w:val="CommentTextChar"/>
    <w:uiPriority w:val="99"/>
    <w:unhideWhenUsed/>
    <w:rsid w:val="005F07DC"/>
    <w:pPr>
      <w:spacing w:line="240" w:lineRule="auto"/>
    </w:pPr>
    <w:rPr>
      <w:sz w:val="20"/>
      <w:szCs w:val="20"/>
    </w:rPr>
  </w:style>
  <w:style w:type="character" w:customStyle="1" w:styleId="CommentTextChar">
    <w:name w:val="Comment Text Char"/>
    <w:basedOn w:val="DefaultParagraphFont"/>
    <w:link w:val="CommentText"/>
    <w:uiPriority w:val="99"/>
    <w:rsid w:val="005F07DC"/>
    <w:rPr>
      <w:sz w:val="20"/>
      <w:szCs w:val="20"/>
    </w:rPr>
  </w:style>
  <w:style w:type="paragraph" w:styleId="CommentSubject">
    <w:name w:val="annotation subject"/>
    <w:basedOn w:val="CommentText"/>
    <w:next w:val="CommentText"/>
    <w:link w:val="CommentSubjectChar"/>
    <w:uiPriority w:val="99"/>
    <w:semiHidden/>
    <w:unhideWhenUsed/>
    <w:rsid w:val="005F07DC"/>
    <w:rPr>
      <w:b/>
      <w:bCs/>
    </w:rPr>
  </w:style>
  <w:style w:type="character" w:customStyle="1" w:styleId="CommentSubjectChar">
    <w:name w:val="Comment Subject Char"/>
    <w:basedOn w:val="CommentTextChar"/>
    <w:link w:val="CommentSubject"/>
    <w:uiPriority w:val="99"/>
    <w:semiHidden/>
    <w:rsid w:val="005F07DC"/>
    <w:rPr>
      <w:b/>
      <w:bCs/>
      <w:sz w:val="20"/>
      <w:szCs w:val="20"/>
    </w:rPr>
  </w:style>
  <w:style w:type="table" w:styleId="TableGrid">
    <w:name w:val="Table Grid"/>
    <w:basedOn w:val="TableNormal"/>
    <w:uiPriority w:val="59"/>
    <w:rsid w:val="004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08A1"/>
    <w:pPr>
      <w:spacing w:after="0" w:line="240" w:lineRule="auto"/>
    </w:pPr>
  </w:style>
  <w:style w:type="paragraph" w:styleId="ListBullet">
    <w:name w:val="List Bullet"/>
    <w:basedOn w:val="Normal"/>
    <w:uiPriority w:val="99"/>
    <w:semiHidden/>
    <w:unhideWhenUsed/>
    <w:rsid w:val="007E51A5"/>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Gwenny (RQ3) BCH</dc:creator>
  <cp:lastModifiedBy>EVANS, Lisa (GLOUCESTERSHIRE HOSPITALS NHS FOUNDATION TRUST)</cp:lastModifiedBy>
  <cp:revision>2</cp:revision>
  <cp:lastPrinted>2015-09-16T15:30:00Z</cp:lastPrinted>
  <dcterms:created xsi:type="dcterms:W3CDTF">2026-05-19T13:14:00Z</dcterms:created>
  <dcterms:modified xsi:type="dcterms:W3CDTF">2026-05-19T13:14:00Z</dcterms:modified>
</cp:coreProperties>
</file>