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3A0" w:rsidRPr="00CB0DCE" w:rsidRDefault="009123A0" w:rsidP="009123A0">
      <w:pPr>
        <w:spacing w:after="0"/>
        <w:jc w:val="center"/>
        <w:outlineLvl w:val="0"/>
        <w:rPr>
          <w:rFonts w:ascii="Arial" w:hAnsi="Arial" w:cs="Arial"/>
          <w:b/>
        </w:rPr>
      </w:pPr>
      <w:r w:rsidRPr="00CB0DCE">
        <w:rPr>
          <w:rFonts w:ascii="Arial" w:hAnsi="Arial" w:cs="Arial"/>
          <w:b/>
        </w:rPr>
        <w:t>PEOPLE AND ORGANISATIONAL DEVELOPMENT COMMITTEE</w:t>
      </w:r>
    </w:p>
    <w:p w:rsidR="009123A0" w:rsidRPr="00CB0DCE" w:rsidRDefault="009123A0" w:rsidP="009123A0">
      <w:pPr>
        <w:spacing w:after="0"/>
        <w:jc w:val="center"/>
        <w:outlineLvl w:val="0"/>
        <w:rPr>
          <w:rFonts w:ascii="Arial" w:hAnsi="Arial" w:cs="Arial"/>
          <w:b/>
        </w:rPr>
      </w:pPr>
      <w:r>
        <w:rPr>
          <w:rFonts w:ascii="Arial" w:hAnsi="Arial" w:cs="Arial"/>
          <w:b/>
        </w:rPr>
        <w:t>23</w:t>
      </w:r>
      <w:r w:rsidRPr="00A25138">
        <w:rPr>
          <w:rFonts w:ascii="Arial" w:hAnsi="Arial" w:cs="Arial"/>
          <w:b/>
          <w:vertAlign w:val="superscript"/>
        </w:rPr>
        <w:t>rd</w:t>
      </w:r>
      <w:r>
        <w:rPr>
          <w:rFonts w:ascii="Arial" w:hAnsi="Arial" w:cs="Arial"/>
          <w:b/>
        </w:rPr>
        <w:t xml:space="preserve"> </w:t>
      </w:r>
      <w:r w:rsidRPr="00CB0DCE">
        <w:rPr>
          <w:rFonts w:ascii="Arial" w:hAnsi="Arial" w:cs="Arial"/>
          <w:b/>
        </w:rPr>
        <w:t>February 2021</w:t>
      </w:r>
    </w:p>
    <w:p w:rsidR="009123A0" w:rsidRPr="00CB0DCE" w:rsidRDefault="009123A0" w:rsidP="009123A0">
      <w:pPr>
        <w:spacing w:after="0"/>
        <w:jc w:val="center"/>
        <w:outlineLvl w:val="0"/>
        <w:rPr>
          <w:rFonts w:ascii="Arial" w:hAnsi="Arial" w:cs="Arial"/>
          <w:b/>
        </w:rPr>
      </w:pPr>
      <w:r w:rsidRPr="00CB0DCE">
        <w:rPr>
          <w:rFonts w:ascii="Arial" w:hAnsi="Arial" w:cs="Arial"/>
          <w:b/>
        </w:rPr>
        <w:t>Via MS Teams</w:t>
      </w:r>
    </w:p>
    <w:p w:rsidR="009123A0" w:rsidRPr="00CB0DCE" w:rsidRDefault="009123A0" w:rsidP="009123A0">
      <w:pPr>
        <w:spacing w:after="0" w:line="240" w:lineRule="auto"/>
        <w:rPr>
          <w:rFonts w:ascii="Arial" w:hAnsi="Arial" w:cs="Arial"/>
        </w:rPr>
      </w:pPr>
    </w:p>
    <w:tbl>
      <w:tblPr>
        <w:tblStyle w:val="TableGrid"/>
        <w:tblW w:w="10205" w:type="dxa"/>
        <w:tblInd w:w="-459" w:type="dxa"/>
        <w:tblLook w:val="04A0" w:firstRow="1" w:lastRow="0" w:firstColumn="1" w:lastColumn="0" w:noHBand="0" w:noVBand="1"/>
      </w:tblPr>
      <w:tblGrid>
        <w:gridCol w:w="1843"/>
        <w:gridCol w:w="567"/>
        <w:gridCol w:w="1559"/>
        <w:gridCol w:w="426"/>
        <w:gridCol w:w="141"/>
        <w:gridCol w:w="426"/>
        <w:gridCol w:w="1984"/>
        <w:gridCol w:w="425"/>
        <w:gridCol w:w="1866"/>
        <w:gridCol w:w="968"/>
      </w:tblGrid>
      <w:tr w:rsidR="009123A0" w:rsidRPr="00CB0DCE" w:rsidTr="00DE68C6">
        <w:tc>
          <w:tcPr>
            <w:tcW w:w="10205" w:type="dxa"/>
            <w:gridSpan w:val="10"/>
            <w:shd w:val="clear" w:color="auto" w:fill="DBE5F1" w:themeFill="accent1" w:themeFillTint="33"/>
          </w:tcPr>
          <w:p w:rsidR="009123A0" w:rsidRPr="00CB0DCE" w:rsidRDefault="009123A0" w:rsidP="00DE68C6">
            <w:pPr>
              <w:spacing w:line="360" w:lineRule="auto"/>
              <w:jc w:val="center"/>
              <w:rPr>
                <w:rFonts w:ascii="Arial" w:hAnsi="Arial" w:cs="Arial"/>
                <w:b/>
              </w:rPr>
            </w:pPr>
            <w:r w:rsidRPr="00CB0DCE">
              <w:rPr>
                <w:rFonts w:ascii="Arial" w:hAnsi="Arial" w:cs="Arial"/>
                <w:b/>
              </w:rPr>
              <w:t>Report Title</w:t>
            </w:r>
          </w:p>
        </w:tc>
      </w:tr>
      <w:tr w:rsidR="009123A0" w:rsidRPr="00CB0DCE" w:rsidTr="00DE68C6">
        <w:tc>
          <w:tcPr>
            <w:tcW w:w="10205" w:type="dxa"/>
            <w:gridSpan w:val="10"/>
            <w:tcBorders>
              <w:bottom w:val="single" w:sz="4" w:space="0" w:color="auto"/>
            </w:tcBorders>
          </w:tcPr>
          <w:p w:rsidR="009123A0" w:rsidRDefault="00FB7DE9" w:rsidP="00FB7DE9">
            <w:pPr>
              <w:jc w:val="center"/>
              <w:rPr>
                <w:rFonts w:ascii="Arial" w:eastAsia="Times New Roman" w:hAnsi="Arial" w:cs="Arial"/>
                <w:b/>
              </w:rPr>
            </w:pPr>
            <w:r>
              <w:rPr>
                <w:rFonts w:ascii="Arial" w:eastAsia="Times New Roman" w:hAnsi="Arial" w:cs="Arial"/>
                <w:b/>
              </w:rPr>
              <w:t>Gender Pay Gap Report</w:t>
            </w:r>
          </w:p>
          <w:p w:rsidR="00FB7DE9" w:rsidRPr="00FB7DE9" w:rsidRDefault="00FB7DE9" w:rsidP="00FB7DE9">
            <w:pPr>
              <w:jc w:val="center"/>
              <w:rPr>
                <w:rFonts w:ascii="Arial" w:eastAsia="Times New Roman" w:hAnsi="Arial" w:cs="Arial"/>
                <w:b/>
              </w:rPr>
            </w:pPr>
          </w:p>
        </w:tc>
      </w:tr>
      <w:tr w:rsidR="009123A0" w:rsidRPr="00CB0DCE" w:rsidTr="00DE68C6">
        <w:tc>
          <w:tcPr>
            <w:tcW w:w="10205" w:type="dxa"/>
            <w:gridSpan w:val="10"/>
            <w:shd w:val="clear" w:color="auto" w:fill="DBE5F1" w:themeFill="accent1" w:themeFillTint="33"/>
          </w:tcPr>
          <w:p w:rsidR="009123A0" w:rsidRPr="00CB0DCE" w:rsidRDefault="009123A0" w:rsidP="00DE68C6">
            <w:pPr>
              <w:spacing w:line="360" w:lineRule="auto"/>
              <w:jc w:val="center"/>
              <w:rPr>
                <w:rFonts w:ascii="Arial" w:hAnsi="Arial" w:cs="Arial"/>
                <w:b/>
              </w:rPr>
            </w:pPr>
            <w:r w:rsidRPr="00CB0DCE">
              <w:rPr>
                <w:rFonts w:ascii="Arial" w:hAnsi="Arial" w:cs="Arial"/>
                <w:b/>
              </w:rPr>
              <w:t>Sponsor and Author(s)</w:t>
            </w:r>
          </w:p>
        </w:tc>
      </w:tr>
      <w:tr w:rsidR="009123A0" w:rsidRPr="00CB0DCE" w:rsidTr="00DE68C6">
        <w:tc>
          <w:tcPr>
            <w:tcW w:w="10205" w:type="dxa"/>
            <w:gridSpan w:val="10"/>
            <w:tcBorders>
              <w:bottom w:val="single" w:sz="4" w:space="0" w:color="auto"/>
            </w:tcBorders>
          </w:tcPr>
          <w:p w:rsidR="009123A0" w:rsidRPr="00CB0DCE" w:rsidRDefault="009123A0" w:rsidP="00DE68C6">
            <w:pPr>
              <w:rPr>
                <w:rFonts w:ascii="Arial" w:hAnsi="Arial" w:cs="Arial"/>
              </w:rPr>
            </w:pPr>
            <w:r w:rsidRPr="00CB0DCE">
              <w:rPr>
                <w:rFonts w:ascii="Arial" w:hAnsi="Arial" w:cs="Arial"/>
              </w:rPr>
              <w:t xml:space="preserve">Author: Alison Koeltgen, </w:t>
            </w:r>
            <w:r>
              <w:rPr>
                <w:rFonts w:ascii="Arial" w:hAnsi="Arial" w:cs="Arial"/>
              </w:rPr>
              <w:t xml:space="preserve">Operational </w:t>
            </w:r>
            <w:r w:rsidRPr="00CB0DCE">
              <w:rPr>
                <w:rFonts w:ascii="Arial" w:hAnsi="Arial" w:cs="Arial"/>
              </w:rPr>
              <w:t xml:space="preserve">Director of People and </w:t>
            </w:r>
            <w:r w:rsidRPr="00CB0DCE">
              <w:rPr>
                <w:rFonts w:ascii="Arial" w:hAnsi="Arial" w:cs="Arial"/>
                <w:bCs/>
              </w:rPr>
              <w:t xml:space="preserve">Organisational Development  </w:t>
            </w:r>
          </w:p>
          <w:p w:rsidR="009123A0" w:rsidRPr="00CB0DCE" w:rsidRDefault="009123A0" w:rsidP="00DE68C6">
            <w:pPr>
              <w:rPr>
                <w:rFonts w:ascii="Arial" w:hAnsi="Arial" w:cs="Arial"/>
              </w:rPr>
            </w:pPr>
            <w:r w:rsidRPr="00CB0DCE">
              <w:rPr>
                <w:rFonts w:ascii="Arial" w:hAnsi="Arial" w:cs="Arial"/>
              </w:rPr>
              <w:t xml:space="preserve">Executive Sponsor: Emma Wood, Deputy CEO and Director of People and </w:t>
            </w:r>
            <w:r w:rsidRPr="00CB0DCE">
              <w:rPr>
                <w:rFonts w:ascii="Arial" w:hAnsi="Arial" w:cs="Arial"/>
                <w:bCs/>
              </w:rPr>
              <w:t>Organisational Development</w:t>
            </w:r>
            <w:r w:rsidRPr="00CB0DCE">
              <w:rPr>
                <w:rFonts w:cs="Arial"/>
                <w:bCs/>
              </w:rPr>
              <w:t xml:space="preserve">  </w:t>
            </w:r>
          </w:p>
        </w:tc>
      </w:tr>
      <w:tr w:rsidR="009123A0" w:rsidRPr="00CB0DCE" w:rsidTr="00DE68C6">
        <w:tc>
          <w:tcPr>
            <w:tcW w:w="10205" w:type="dxa"/>
            <w:gridSpan w:val="10"/>
            <w:shd w:val="clear" w:color="auto" w:fill="DBE5F1" w:themeFill="accent1" w:themeFillTint="33"/>
          </w:tcPr>
          <w:p w:rsidR="009123A0" w:rsidRPr="00CB0DCE" w:rsidRDefault="009123A0" w:rsidP="00DE68C6">
            <w:pPr>
              <w:spacing w:line="360" w:lineRule="auto"/>
              <w:jc w:val="center"/>
              <w:rPr>
                <w:rFonts w:ascii="Arial" w:hAnsi="Arial" w:cs="Arial"/>
                <w:b/>
              </w:rPr>
            </w:pPr>
            <w:r w:rsidRPr="00CB0DCE">
              <w:rPr>
                <w:rFonts w:ascii="Arial" w:hAnsi="Arial" w:cs="Arial"/>
                <w:b/>
              </w:rPr>
              <w:t>Executive Summary</w:t>
            </w:r>
          </w:p>
        </w:tc>
      </w:tr>
      <w:tr w:rsidR="009123A0" w:rsidRPr="00CB0DCE" w:rsidTr="00DE68C6">
        <w:tc>
          <w:tcPr>
            <w:tcW w:w="10205" w:type="dxa"/>
            <w:gridSpan w:val="10"/>
            <w:tcBorders>
              <w:bottom w:val="single" w:sz="4" w:space="0" w:color="auto"/>
            </w:tcBorders>
            <w:shd w:val="clear" w:color="auto" w:fill="auto"/>
          </w:tcPr>
          <w:p w:rsidR="00A26E5C" w:rsidRPr="0067327A" w:rsidRDefault="00A26E5C" w:rsidP="00A26E5C">
            <w:pPr>
              <w:rPr>
                <w:rFonts w:ascii="Arial" w:hAnsi="Arial" w:cs="Arial"/>
                <w:b/>
                <w:u w:val="single"/>
              </w:rPr>
            </w:pPr>
            <w:r w:rsidRPr="0067327A">
              <w:rPr>
                <w:rFonts w:ascii="Arial" w:hAnsi="Arial" w:cs="Arial"/>
                <w:b/>
                <w:u w:val="single"/>
              </w:rPr>
              <w:t>Purp</w:t>
            </w:r>
            <w:bookmarkStart w:id="0" w:name="_GoBack"/>
            <w:bookmarkEnd w:id="0"/>
            <w:r w:rsidRPr="0067327A">
              <w:rPr>
                <w:rFonts w:ascii="Arial" w:hAnsi="Arial" w:cs="Arial"/>
                <w:b/>
                <w:u w:val="single"/>
              </w:rPr>
              <w:t>ose</w:t>
            </w:r>
          </w:p>
          <w:p w:rsidR="00A26E5C" w:rsidRPr="0067327A" w:rsidRDefault="00A26E5C" w:rsidP="00A26E5C">
            <w:pPr>
              <w:jc w:val="both"/>
              <w:rPr>
                <w:rFonts w:ascii="Arial" w:hAnsi="Arial" w:cs="Arial"/>
              </w:rPr>
            </w:pPr>
            <w:r w:rsidRPr="0067327A">
              <w:rPr>
                <w:rFonts w:ascii="Arial" w:hAnsi="Arial" w:cs="Arial"/>
              </w:rPr>
              <w:t>This report shares information due to be published on 30 March 2021 as part of our requirement to participate in national Gender Pay Gap reporting. The data set used for this report, as determined by national reporting requirements, is data extracted from March 31</w:t>
            </w:r>
            <w:r w:rsidRPr="0067327A">
              <w:rPr>
                <w:rFonts w:ascii="Arial" w:hAnsi="Arial" w:cs="Arial"/>
                <w:vertAlign w:val="superscript"/>
              </w:rPr>
              <w:t>st</w:t>
            </w:r>
            <w:r w:rsidRPr="0067327A">
              <w:rPr>
                <w:rFonts w:ascii="Arial" w:hAnsi="Arial" w:cs="Arial"/>
              </w:rPr>
              <w:t xml:space="preserve"> 2020.  This data excludes Gloucestershire Managed Services (GMS) who are obliged to submit their own company report during April 2021.</w:t>
            </w:r>
          </w:p>
          <w:p w:rsidR="00A26E5C" w:rsidRPr="0067327A" w:rsidRDefault="00A26E5C" w:rsidP="00A26E5C">
            <w:pPr>
              <w:rPr>
                <w:rFonts w:ascii="Arial" w:hAnsi="Arial" w:cs="Arial"/>
                <w:color w:val="FF0000"/>
                <w:u w:val="single"/>
              </w:rPr>
            </w:pPr>
          </w:p>
          <w:p w:rsidR="00A26E5C" w:rsidRDefault="00A26E5C" w:rsidP="00A26E5C">
            <w:pPr>
              <w:rPr>
                <w:rFonts w:ascii="Arial" w:hAnsi="Arial" w:cs="Arial"/>
                <w:b/>
                <w:color w:val="000000" w:themeColor="text1"/>
                <w:u w:val="single"/>
              </w:rPr>
            </w:pPr>
            <w:r w:rsidRPr="0067327A">
              <w:rPr>
                <w:rFonts w:ascii="Arial" w:hAnsi="Arial" w:cs="Arial"/>
                <w:b/>
                <w:color w:val="000000" w:themeColor="text1"/>
                <w:u w:val="single"/>
              </w:rPr>
              <w:t>Key issues to note</w:t>
            </w:r>
          </w:p>
          <w:p w:rsidR="00E8703E" w:rsidRDefault="00E8703E" w:rsidP="00A26E5C">
            <w:pPr>
              <w:rPr>
                <w:rFonts w:ascii="Arial" w:hAnsi="Arial" w:cs="Arial"/>
                <w:b/>
                <w:color w:val="000000" w:themeColor="text1"/>
                <w:u w:val="single"/>
              </w:rPr>
            </w:pPr>
          </w:p>
          <w:p w:rsidR="00E8703E" w:rsidRPr="00E8703E" w:rsidRDefault="00E8703E" w:rsidP="00A26E5C">
            <w:pPr>
              <w:rPr>
                <w:rFonts w:ascii="Arial" w:hAnsi="Arial" w:cs="Arial"/>
                <w:color w:val="000000" w:themeColor="text1"/>
              </w:rPr>
            </w:pPr>
            <w:r>
              <w:rPr>
                <w:rFonts w:ascii="Arial" w:hAnsi="Arial" w:cs="Arial"/>
                <w:color w:val="000000" w:themeColor="text1"/>
              </w:rPr>
              <w:t>The report seeks to explain the reasons for the gender pay gap</w:t>
            </w:r>
            <w:r w:rsidR="0017167E">
              <w:rPr>
                <w:rFonts w:ascii="Arial" w:hAnsi="Arial" w:cs="Arial"/>
                <w:color w:val="000000" w:themeColor="text1"/>
              </w:rPr>
              <w:t xml:space="preserve">; </w:t>
            </w:r>
            <w:r>
              <w:rPr>
                <w:rFonts w:ascii="Arial" w:hAnsi="Arial" w:cs="Arial"/>
                <w:color w:val="000000" w:themeColor="text1"/>
              </w:rPr>
              <w:t xml:space="preserve">based on the application of national terms and conditions </w:t>
            </w:r>
            <w:r w:rsidR="0017167E">
              <w:rPr>
                <w:rFonts w:ascii="Arial" w:hAnsi="Arial" w:cs="Arial"/>
                <w:color w:val="000000" w:themeColor="text1"/>
              </w:rPr>
              <w:t>that</w:t>
            </w:r>
            <w:r>
              <w:rPr>
                <w:rFonts w:ascii="Arial" w:hAnsi="Arial" w:cs="Arial"/>
                <w:color w:val="000000" w:themeColor="text1"/>
              </w:rPr>
              <w:t xml:space="preserve"> are designed to reward length of service</w:t>
            </w:r>
            <w:r w:rsidR="0017167E">
              <w:rPr>
                <w:rFonts w:ascii="Arial" w:hAnsi="Arial" w:cs="Arial"/>
                <w:color w:val="000000" w:themeColor="text1"/>
              </w:rPr>
              <w:t xml:space="preserve"> and the payment of Clinical Excellence Awards to Consultants</w:t>
            </w:r>
            <w:r>
              <w:rPr>
                <w:rFonts w:ascii="Arial" w:hAnsi="Arial" w:cs="Arial"/>
                <w:color w:val="000000" w:themeColor="text1"/>
              </w:rPr>
              <w:t>.  To support the readers understanding of the issues associated with the application of national terms and conditions, the report s</w:t>
            </w:r>
            <w:r w:rsidR="0017167E">
              <w:rPr>
                <w:rFonts w:ascii="Arial" w:hAnsi="Arial" w:cs="Arial"/>
                <w:color w:val="000000" w:themeColor="text1"/>
              </w:rPr>
              <w:t xml:space="preserve">eparates the pay gaps between those </w:t>
            </w:r>
            <w:r>
              <w:rPr>
                <w:rFonts w:ascii="Arial" w:hAnsi="Arial" w:cs="Arial"/>
                <w:color w:val="000000" w:themeColor="text1"/>
              </w:rPr>
              <w:t xml:space="preserve">on paid on Agenda for Change terms and conditions, </w:t>
            </w:r>
            <w:r w:rsidR="0017167E">
              <w:rPr>
                <w:rFonts w:ascii="Arial" w:hAnsi="Arial" w:cs="Arial"/>
                <w:color w:val="000000" w:themeColor="text1"/>
              </w:rPr>
              <w:t xml:space="preserve">colleagues paid on </w:t>
            </w:r>
            <w:r>
              <w:rPr>
                <w:rFonts w:ascii="Arial" w:hAnsi="Arial" w:cs="Arial"/>
                <w:color w:val="000000" w:themeColor="text1"/>
              </w:rPr>
              <w:t xml:space="preserve">Medical terms and conditions and a combined picture of both groups together.  </w:t>
            </w:r>
            <w:r w:rsidR="0017167E">
              <w:rPr>
                <w:rFonts w:ascii="Arial" w:hAnsi="Arial" w:cs="Arial"/>
                <w:color w:val="000000" w:themeColor="text1"/>
              </w:rPr>
              <w:t>Pay quartiles are also detailed within the report, to demonstrate the impact that length of service has on the pay gap.</w:t>
            </w:r>
            <w:r>
              <w:rPr>
                <w:rFonts w:ascii="Arial" w:hAnsi="Arial" w:cs="Arial"/>
                <w:color w:val="000000" w:themeColor="text1"/>
              </w:rPr>
              <w:t xml:space="preserve">  </w:t>
            </w:r>
          </w:p>
          <w:p w:rsidR="001F2D52" w:rsidRPr="0067327A" w:rsidRDefault="001F2D52" w:rsidP="00A26E5C">
            <w:pPr>
              <w:rPr>
                <w:rFonts w:ascii="Arial" w:hAnsi="Arial" w:cs="Arial"/>
                <w:b/>
                <w:color w:val="000000" w:themeColor="text1"/>
                <w:u w:val="single"/>
              </w:rPr>
            </w:pPr>
          </w:p>
          <w:p w:rsidR="001F2D52" w:rsidRPr="0067327A" w:rsidRDefault="001F2D52" w:rsidP="001F2D52">
            <w:pPr>
              <w:pStyle w:val="ListParagraph"/>
              <w:widowControl w:val="0"/>
              <w:numPr>
                <w:ilvl w:val="0"/>
                <w:numId w:val="8"/>
              </w:numPr>
              <w:jc w:val="both"/>
              <w:rPr>
                <w:rFonts w:ascii="Arial" w:hAnsi="Arial" w:cs="Arial"/>
                <w:b/>
              </w:rPr>
            </w:pPr>
            <w:r w:rsidRPr="0067327A">
              <w:rPr>
                <w:rFonts w:ascii="Arial" w:hAnsi="Arial" w:cs="Arial"/>
                <w:b/>
              </w:rPr>
              <w:t>Gender Pay Gap– All Staff</w:t>
            </w:r>
          </w:p>
          <w:p w:rsidR="001F2D52" w:rsidRDefault="001F2D52" w:rsidP="001F2D52">
            <w:pPr>
              <w:widowControl w:val="0"/>
              <w:jc w:val="both"/>
              <w:rPr>
                <w:rFonts w:ascii="Arial" w:hAnsi="Arial" w:cs="Arial"/>
                <w:b/>
              </w:rPr>
            </w:pPr>
          </w:p>
          <w:p w:rsidR="001F2D52" w:rsidRPr="0067327A" w:rsidRDefault="001F2D52" w:rsidP="001F2D52">
            <w:pPr>
              <w:widowControl w:val="0"/>
              <w:jc w:val="both"/>
              <w:rPr>
                <w:rFonts w:ascii="Arial" w:hAnsi="Arial" w:cs="Arial"/>
                <w:b/>
              </w:rPr>
            </w:pPr>
            <w:r w:rsidRPr="0067327A">
              <w:rPr>
                <w:rFonts w:ascii="Arial" w:hAnsi="Arial" w:cs="Arial"/>
                <w:b/>
              </w:rPr>
              <w:t>Mean Gender Pay Gap Reporting (National Requirement)</w:t>
            </w:r>
          </w:p>
          <w:p w:rsidR="001F2D52" w:rsidRPr="0067327A" w:rsidRDefault="001F2D52" w:rsidP="001F2D52">
            <w:pPr>
              <w:widowControl w:val="0"/>
              <w:contextualSpacing/>
              <w:jc w:val="both"/>
              <w:rPr>
                <w:rFonts w:ascii="Arial" w:hAnsi="Arial" w:cs="Arial"/>
              </w:rPr>
            </w:pPr>
            <w:r w:rsidRPr="0067327A">
              <w:rPr>
                <w:rFonts w:ascii="Arial" w:hAnsi="Arial" w:cs="Arial"/>
              </w:rPr>
              <w:t xml:space="preserve">The average hourly rate for ALL female staff has increased from £16.38 to £16.70, when compared to 2019 data.  The average hourly rate for ALL male staff increased by 7.4%, from £23.17 to £23.30. The gender pay gap, based on the average hourly rate, for all staff </w:t>
            </w:r>
            <w:r w:rsidRPr="0067327A">
              <w:rPr>
                <w:rFonts w:ascii="Arial" w:hAnsi="Arial" w:cs="Arial"/>
                <w:b/>
              </w:rPr>
              <w:t>reduced</w:t>
            </w:r>
            <w:r w:rsidRPr="0067327A">
              <w:rPr>
                <w:rFonts w:ascii="Arial" w:hAnsi="Arial" w:cs="Arial"/>
              </w:rPr>
              <w:t xml:space="preserve"> from </w:t>
            </w:r>
            <w:r w:rsidRPr="0067327A">
              <w:rPr>
                <w:rFonts w:ascii="Arial" w:hAnsi="Arial" w:cs="Arial"/>
                <w:noProof/>
                <w:lang w:eastAsia="en-GB"/>
              </w:rPr>
              <w:t xml:space="preserve">from 29.36%, reported in 2020,  to </w:t>
            </w:r>
            <w:r w:rsidRPr="0067327A">
              <w:rPr>
                <w:rFonts w:ascii="Arial" w:hAnsi="Arial" w:cs="Arial"/>
                <w:b/>
                <w:noProof/>
                <w:u w:val="single"/>
                <w:lang w:eastAsia="en-GB"/>
              </w:rPr>
              <w:t>28.6% in favour of males.</w:t>
            </w:r>
          </w:p>
          <w:p w:rsidR="001F2D52" w:rsidRPr="0067327A" w:rsidRDefault="001F2D52" w:rsidP="001F2D52">
            <w:pPr>
              <w:widowControl w:val="0"/>
              <w:contextualSpacing/>
              <w:jc w:val="both"/>
              <w:rPr>
                <w:rFonts w:ascii="Arial" w:hAnsi="Arial" w:cs="Arial"/>
                <w:noProof/>
                <w:color w:val="FF0000"/>
                <w:lang w:eastAsia="en-GB"/>
              </w:rPr>
            </w:pPr>
          </w:p>
          <w:p w:rsidR="001F2D52" w:rsidRPr="0067327A" w:rsidRDefault="001F2D52" w:rsidP="001F2D52">
            <w:pPr>
              <w:widowControl w:val="0"/>
              <w:contextualSpacing/>
              <w:jc w:val="both"/>
              <w:rPr>
                <w:rFonts w:ascii="Arial" w:hAnsi="Arial" w:cs="Arial"/>
                <w:b/>
                <w:noProof/>
                <w:color w:val="000000" w:themeColor="text1"/>
                <w:lang w:eastAsia="en-GB"/>
              </w:rPr>
            </w:pPr>
            <w:r w:rsidRPr="0067327A">
              <w:rPr>
                <w:rFonts w:ascii="Arial" w:hAnsi="Arial" w:cs="Arial"/>
                <w:b/>
                <w:noProof/>
                <w:color w:val="000000" w:themeColor="text1"/>
                <w:lang w:eastAsia="en-GB"/>
              </w:rPr>
              <w:t>Median Gender Pay Gap Reporting (National Requirement)</w:t>
            </w:r>
          </w:p>
          <w:p w:rsidR="00A26E5C" w:rsidRPr="0067327A" w:rsidRDefault="001F2D52" w:rsidP="001F2D52">
            <w:pPr>
              <w:widowControl w:val="0"/>
              <w:jc w:val="both"/>
              <w:rPr>
                <w:rFonts w:ascii="Arial" w:hAnsi="Arial" w:cs="Arial"/>
                <w:b/>
                <w:color w:val="000000" w:themeColor="text1"/>
              </w:rPr>
            </w:pPr>
            <w:r w:rsidRPr="0067327A">
              <w:rPr>
                <w:rFonts w:ascii="Arial" w:hAnsi="Arial" w:cs="Arial"/>
                <w:noProof/>
                <w:color w:val="000000" w:themeColor="text1"/>
                <w:lang w:eastAsia="en-GB"/>
              </w:rPr>
              <w:t>The Gender Pay Gap report also includes analysis on the Median hourly rate</w:t>
            </w:r>
            <w:r w:rsidRPr="0067327A">
              <w:rPr>
                <w:rFonts w:ascii="Arial" w:hAnsi="Arial" w:cs="Arial"/>
                <w:b/>
                <w:noProof/>
                <w:color w:val="000000" w:themeColor="text1"/>
                <w:lang w:eastAsia="en-GB"/>
              </w:rPr>
              <w:t xml:space="preserve"> </w:t>
            </w:r>
            <w:r w:rsidRPr="0067327A">
              <w:rPr>
                <w:rFonts w:ascii="Arial" w:hAnsi="Arial" w:cs="Arial"/>
                <w:noProof/>
                <w:color w:val="000000" w:themeColor="text1"/>
                <w:lang w:eastAsia="en-GB"/>
              </w:rPr>
              <w:t>pay gap, which shows a</w:t>
            </w:r>
            <w:r w:rsidR="00763CEC">
              <w:rPr>
                <w:rFonts w:ascii="Arial" w:hAnsi="Arial" w:cs="Arial"/>
                <w:noProof/>
                <w:color w:val="000000" w:themeColor="text1"/>
                <w:lang w:eastAsia="en-GB"/>
              </w:rPr>
              <w:t xml:space="preserve"> </w:t>
            </w:r>
            <w:r w:rsidRPr="0067327A">
              <w:rPr>
                <w:rFonts w:ascii="Arial" w:hAnsi="Arial" w:cs="Arial"/>
                <w:b/>
                <w:noProof/>
                <w:color w:val="000000" w:themeColor="text1"/>
                <w:lang w:eastAsia="en-GB"/>
              </w:rPr>
              <w:t xml:space="preserve">decrease </w:t>
            </w:r>
            <w:r w:rsidRPr="0067327A">
              <w:rPr>
                <w:rFonts w:ascii="Arial" w:hAnsi="Arial" w:cs="Arial"/>
                <w:noProof/>
                <w:color w:val="000000" w:themeColor="text1"/>
                <w:lang w:eastAsia="en-GB"/>
              </w:rPr>
              <w:t xml:space="preserve">from 20.31% (2019 data) to </w:t>
            </w:r>
            <w:r w:rsidRPr="0067327A">
              <w:rPr>
                <w:rFonts w:ascii="Arial" w:hAnsi="Arial" w:cs="Arial"/>
                <w:b/>
                <w:noProof/>
                <w:color w:val="000000" w:themeColor="text1"/>
                <w:u w:val="single"/>
                <w:lang w:eastAsia="en-GB"/>
              </w:rPr>
              <w:t>19.8%</w:t>
            </w:r>
            <w:r w:rsidRPr="0067327A">
              <w:rPr>
                <w:rFonts w:ascii="Arial" w:hAnsi="Arial" w:cs="Arial"/>
                <w:b/>
                <w:noProof/>
                <w:u w:val="single"/>
                <w:lang w:eastAsia="en-GB"/>
              </w:rPr>
              <w:t xml:space="preserve"> in favour of males</w:t>
            </w:r>
          </w:p>
          <w:p w:rsidR="001F2D52" w:rsidRPr="0067327A" w:rsidRDefault="001F2D52" w:rsidP="00A26E5C">
            <w:pPr>
              <w:widowControl w:val="0"/>
              <w:jc w:val="both"/>
              <w:rPr>
                <w:rFonts w:ascii="Arial" w:hAnsi="Arial" w:cs="Arial"/>
                <w:b/>
                <w:color w:val="000000" w:themeColor="text1"/>
              </w:rPr>
            </w:pPr>
          </w:p>
          <w:p w:rsidR="00A26E5C" w:rsidRPr="0067327A" w:rsidRDefault="001F2D52" w:rsidP="00A26E5C">
            <w:pPr>
              <w:widowControl w:val="0"/>
              <w:jc w:val="both"/>
              <w:rPr>
                <w:rFonts w:ascii="Arial" w:hAnsi="Arial" w:cs="Arial"/>
                <w:b/>
                <w:color w:val="000000" w:themeColor="text1"/>
              </w:rPr>
            </w:pPr>
            <w:r w:rsidRPr="0067327A">
              <w:rPr>
                <w:rFonts w:ascii="Arial" w:hAnsi="Arial" w:cs="Arial"/>
                <w:b/>
                <w:color w:val="000000" w:themeColor="text1"/>
              </w:rPr>
              <w:t xml:space="preserve">2.0 </w:t>
            </w:r>
            <w:r w:rsidR="00A26E5C" w:rsidRPr="0067327A">
              <w:rPr>
                <w:rFonts w:ascii="Arial" w:hAnsi="Arial" w:cs="Arial"/>
                <w:b/>
                <w:color w:val="000000" w:themeColor="text1"/>
              </w:rPr>
              <w:t>Non-Medical Workforce</w:t>
            </w:r>
          </w:p>
          <w:p w:rsidR="001F2D52" w:rsidRPr="0067327A" w:rsidRDefault="00A26E5C" w:rsidP="001F2D52">
            <w:pPr>
              <w:widowControl w:val="0"/>
              <w:jc w:val="both"/>
              <w:rPr>
                <w:rFonts w:ascii="Arial" w:hAnsi="Arial" w:cs="Arial"/>
                <w:color w:val="FF0000"/>
              </w:rPr>
            </w:pPr>
            <w:r w:rsidRPr="0067327A">
              <w:rPr>
                <w:rFonts w:ascii="Arial" w:hAnsi="Arial" w:cs="Arial"/>
                <w:color w:val="000000" w:themeColor="text1"/>
              </w:rPr>
              <w:t xml:space="preserve">This report </w:t>
            </w:r>
            <w:r w:rsidR="001F2D52" w:rsidRPr="0067327A">
              <w:rPr>
                <w:rFonts w:ascii="Arial" w:hAnsi="Arial" w:cs="Arial"/>
                <w:color w:val="000000" w:themeColor="text1"/>
              </w:rPr>
              <w:t>shows that when the Medical workforce is excluded from the pay gap calculations, the mean hourly pay for males is £0.61 higher than that of females, a gender pay gap of 3.9%</w:t>
            </w:r>
            <w:r w:rsidR="00597D36">
              <w:rPr>
                <w:rFonts w:ascii="Arial" w:hAnsi="Arial" w:cs="Arial"/>
                <w:color w:val="000000" w:themeColor="text1"/>
              </w:rPr>
              <w:t xml:space="preserve"> (compared to 4% in 2020)</w:t>
            </w:r>
            <w:r w:rsidR="001F2D52" w:rsidRPr="0067327A">
              <w:rPr>
                <w:rFonts w:ascii="Arial" w:hAnsi="Arial" w:cs="Arial"/>
                <w:color w:val="000000" w:themeColor="text1"/>
              </w:rPr>
              <w:t xml:space="preserve">.  The quartile split </w:t>
            </w:r>
            <w:r w:rsidR="00597D36">
              <w:rPr>
                <w:rFonts w:ascii="Arial" w:hAnsi="Arial" w:cs="Arial"/>
                <w:color w:val="000000" w:themeColor="text1"/>
              </w:rPr>
              <w:t xml:space="preserve">demonstrates that </w:t>
            </w:r>
            <w:r w:rsidR="00597D36" w:rsidRPr="0067327A">
              <w:rPr>
                <w:rFonts w:ascii="Arial" w:hAnsi="Arial" w:cs="Arial"/>
                <w:color w:val="000000" w:themeColor="text1"/>
              </w:rPr>
              <w:t>males</w:t>
            </w:r>
            <w:r w:rsidR="001F2D52" w:rsidRPr="0067327A">
              <w:rPr>
                <w:rFonts w:ascii="Arial" w:hAnsi="Arial" w:cs="Arial"/>
                <w:color w:val="000000" w:themeColor="text1"/>
              </w:rPr>
              <w:t xml:space="preserve"> </w:t>
            </w:r>
            <w:r w:rsidR="00597D36">
              <w:rPr>
                <w:rFonts w:ascii="Arial" w:hAnsi="Arial" w:cs="Arial"/>
                <w:color w:val="000000" w:themeColor="text1"/>
              </w:rPr>
              <w:t>remain i</w:t>
            </w:r>
            <w:r w:rsidR="001F2D52" w:rsidRPr="0067327A">
              <w:rPr>
                <w:rFonts w:ascii="Arial" w:hAnsi="Arial" w:cs="Arial"/>
                <w:color w:val="000000" w:themeColor="text1"/>
              </w:rPr>
              <w:t>n a higher proportion in the Upper Quartile, where length of service is recognised by top of band remuneration</w:t>
            </w:r>
            <w:r w:rsidR="001F2D52" w:rsidRPr="00597D36">
              <w:rPr>
                <w:rFonts w:ascii="Arial" w:hAnsi="Arial" w:cs="Arial"/>
                <w:color w:val="000000" w:themeColor="text1"/>
              </w:rPr>
              <w:t>.</w:t>
            </w:r>
          </w:p>
          <w:p w:rsidR="00A26E5C" w:rsidRPr="0067327A" w:rsidRDefault="00A26E5C" w:rsidP="00A26E5C">
            <w:pPr>
              <w:widowControl w:val="0"/>
              <w:jc w:val="both"/>
              <w:rPr>
                <w:rFonts w:ascii="Arial" w:hAnsi="Arial" w:cs="Arial"/>
                <w:color w:val="FF0000"/>
              </w:rPr>
            </w:pPr>
          </w:p>
          <w:p w:rsidR="00A26E5C" w:rsidRPr="0067327A" w:rsidRDefault="001F2D52" w:rsidP="00A26E5C">
            <w:pPr>
              <w:widowControl w:val="0"/>
              <w:jc w:val="both"/>
              <w:rPr>
                <w:rFonts w:ascii="Arial" w:hAnsi="Arial" w:cs="Arial"/>
                <w:b/>
                <w:color w:val="000000" w:themeColor="text1"/>
              </w:rPr>
            </w:pPr>
            <w:r w:rsidRPr="0067327A">
              <w:rPr>
                <w:rFonts w:ascii="Arial" w:hAnsi="Arial" w:cs="Arial"/>
                <w:b/>
                <w:color w:val="000000" w:themeColor="text1"/>
              </w:rPr>
              <w:t xml:space="preserve">3.0 </w:t>
            </w:r>
            <w:r w:rsidR="00A26E5C" w:rsidRPr="0067327A">
              <w:rPr>
                <w:rFonts w:ascii="Arial" w:hAnsi="Arial" w:cs="Arial"/>
                <w:b/>
                <w:color w:val="000000" w:themeColor="text1"/>
              </w:rPr>
              <w:t>Medical Workforce</w:t>
            </w:r>
          </w:p>
          <w:p w:rsidR="00A26E5C" w:rsidRPr="0067327A" w:rsidRDefault="00A26E5C" w:rsidP="00A26E5C">
            <w:pPr>
              <w:widowControl w:val="0"/>
              <w:contextualSpacing/>
              <w:jc w:val="both"/>
              <w:rPr>
                <w:rFonts w:ascii="Arial" w:hAnsi="Arial" w:cs="Arial"/>
                <w:color w:val="000000" w:themeColor="text1"/>
              </w:rPr>
            </w:pPr>
            <w:r w:rsidRPr="0067327A">
              <w:rPr>
                <w:rFonts w:ascii="Arial" w:hAnsi="Arial" w:cs="Arial"/>
                <w:color w:val="000000" w:themeColor="text1"/>
              </w:rPr>
              <w:t xml:space="preserve">The report separates the Medical Workforce, which includes hosted GP Trainees, and profiles length of service between Male and Female Medics – demonstrating the pay gap across the four pay quartiles.  The analysis </w:t>
            </w:r>
            <w:r w:rsidR="0067327A" w:rsidRPr="0067327A">
              <w:rPr>
                <w:rFonts w:ascii="Arial" w:hAnsi="Arial" w:cs="Arial"/>
                <w:color w:val="000000" w:themeColor="text1"/>
              </w:rPr>
              <w:t>of pay</w:t>
            </w:r>
            <w:r w:rsidRPr="0067327A">
              <w:rPr>
                <w:rFonts w:ascii="Arial" w:hAnsi="Arial" w:cs="Arial"/>
                <w:color w:val="000000" w:themeColor="text1"/>
              </w:rPr>
              <w:t xml:space="preserve"> quartiles shows similar trends to previously reported data, the majority of movement being in Pay Quartile 1 &amp; 3, with an increase in Male numbers in Q1 &amp; female in Q3.</w:t>
            </w:r>
          </w:p>
          <w:p w:rsidR="00A26E5C" w:rsidRPr="0067327A" w:rsidRDefault="00A26E5C" w:rsidP="00A26E5C">
            <w:pPr>
              <w:widowControl w:val="0"/>
              <w:contextualSpacing/>
              <w:jc w:val="both"/>
              <w:rPr>
                <w:rFonts w:ascii="Arial" w:hAnsi="Arial" w:cs="Arial"/>
                <w:color w:val="FF0000"/>
              </w:rPr>
            </w:pPr>
          </w:p>
          <w:p w:rsidR="00320A22" w:rsidRPr="0067327A" w:rsidRDefault="00320A22" w:rsidP="00320A22">
            <w:pPr>
              <w:rPr>
                <w:rFonts w:ascii="Arial" w:hAnsi="Arial" w:cs="Arial"/>
              </w:rPr>
            </w:pPr>
            <w:r w:rsidRPr="0067327A">
              <w:rPr>
                <w:rFonts w:ascii="Arial" w:hAnsi="Arial" w:cs="Arial"/>
              </w:rPr>
              <w:t>When analysing only Medical Staff, GHFT still has a higher percentage of females than</w:t>
            </w:r>
            <w:r w:rsidR="00597D36">
              <w:rPr>
                <w:rFonts w:ascii="Arial" w:hAnsi="Arial" w:cs="Arial"/>
              </w:rPr>
              <w:t xml:space="preserve"> males overall in its workforce</w:t>
            </w:r>
            <w:r w:rsidRPr="0067327A">
              <w:rPr>
                <w:rFonts w:ascii="Arial" w:hAnsi="Arial" w:cs="Arial"/>
              </w:rPr>
              <w:t>. Of</w:t>
            </w:r>
            <w:r w:rsidR="00597D36">
              <w:rPr>
                <w:rFonts w:ascii="Arial" w:hAnsi="Arial" w:cs="Arial"/>
              </w:rPr>
              <w:t xml:space="preserve"> the 1379 Medical staff counted </w:t>
            </w:r>
            <w:r w:rsidRPr="0067327A">
              <w:rPr>
                <w:rFonts w:ascii="Arial" w:hAnsi="Arial" w:cs="Arial"/>
              </w:rPr>
              <w:t>as part of the gender pay gap reporting Including Hosted GP Trainees), 55% were female</w:t>
            </w:r>
            <w:r w:rsidRPr="00597D36">
              <w:rPr>
                <w:rFonts w:ascii="Arial" w:hAnsi="Arial" w:cs="Arial"/>
              </w:rPr>
              <w:t xml:space="preserve">. </w:t>
            </w:r>
            <w:r w:rsidR="00597D36" w:rsidRPr="00597D36">
              <w:rPr>
                <w:rFonts w:ascii="Arial" w:hAnsi="Arial" w:cs="Arial"/>
              </w:rPr>
              <w:t xml:space="preserve"> However, when we analyse the </w:t>
            </w:r>
            <w:r w:rsidRPr="00597D36">
              <w:rPr>
                <w:rFonts w:ascii="Arial" w:hAnsi="Arial" w:cs="Arial"/>
              </w:rPr>
              <w:t xml:space="preserve">Senior Medical staff </w:t>
            </w:r>
            <w:r w:rsidR="00597D36" w:rsidRPr="00597D36">
              <w:rPr>
                <w:rFonts w:ascii="Arial" w:hAnsi="Arial" w:cs="Arial"/>
              </w:rPr>
              <w:t>within this group</w:t>
            </w:r>
            <w:r w:rsidRPr="00597D36">
              <w:rPr>
                <w:rFonts w:ascii="Arial" w:hAnsi="Arial" w:cs="Arial"/>
              </w:rPr>
              <w:t xml:space="preserve">;  </w:t>
            </w:r>
            <w:r w:rsidR="00597D36" w:rsidRPr="00597D36">
              <w:rPr>
                <w:rFonts w:ascii="Arial" w:hAnsi="Arial" w:cs="Arial"/>
              </w:rPr>
              <w:t xml:space="preserve">there are less women in these </w:t>
            </w:r>
            <w:r w:rsidR="00597D36">
              <w:rPr>
                <w:rFonts w:ascii="Arial" w:hAnsi="Arial" w:cs="Arial"/>
              </w:rPr>
              <w:t xml:space="preserve">Senior </w:t>
            </w:r>
            <w:r w:rsidR="00597D36" w:rsidRPr="00597D36">
              <w:rPr>
                <w:rFonts w:ascii="Arial" w:hAnsi="Arial" w:cs="Arial"/>
              </w:rPr>
              <w:t xml:space="preserve">roles, with </w:t>
            </w:r>
            <w:r w:rsidRPr="00597D36">
              <w:rPr>
                <w:rFonts w:ascii="Arial" w:hAnsi="Arial" w:cs="Arial"/>
              </w:rPr>
              <w:t xml:space="preserve">female staff </w:t>
            </w:r>
            <w:r w:rsidR="00597D36" w:rsidRPr="00597D36">
              <w:rPr>
                <w:rFonts w:ascii="Arial" w:hAnsi="Arial" w:cs="Arial"/>
              </w:rPr>
              <w:t>making up only</w:t>
            </w:r>
            <w:r w:rsidRPr="00597D36">
              <w:rPr>
                <w:rFonts w:ascii="Arial" w:hAnsi="Arial" w:cs="Arial"/>
              </w:rPr>
              <w:t xml:space="preserve"> 37.7% of </w:t>
            </w:r>
            <w:r w:rsidR="00597D36" w:rsidRPr="00597D36">
              <w:rPr>
                <w:rFonts w:ascii="Arial" w:hAnsi="Arial" w:cs="Arial"/>
              </w:rPr>
              <w:t>the</w:t>
            </w:r>
            <w:r w:rsidRPr="00597D36">
              <w:rPr>
                <w:rFonts w:ascii="Arial" w:hAnsi="Arial" w:cs="Arial"/>
              </w:rPr>
              <w:t xml:space="preserve"> group (183/486), and only 22.4% </w:t>
            </w:r>
            <w:r w:rsidR="00597D36" w:rsidRPr="00597D36">
              <w:rPr>
                <w:rFonts w:ascii="Arial" w:hAnsi="Arial" w:cs="Arial"/>
              </w:rPr>
              <w:t xml:space="preserve">of these females </w:t>
            </w:r>
            <w:r w:rsidRPr="00597D36">
              <w:rPr>
                <w:rFonts w:ascii="Arial" w:hAnsi="Arial" w:cs="Arial"/>
              </w:rPr>
              <w:t>are in the upper pay quartile.</w:t>
            </w:r>
            <w:r w:rsidRPr="0067327A">
              <w:rPr>
                <w:rFonts w:ascii="Arial" w:hAnsi="Arial" w:cs="Arial"/>
              </w:rPr>
              <w:t xml:space="preserve"> </w:t>
            </w:r>
          </w:p>
          <w:p w:rsidR="00320A22" w:rsidRPr="0067327A" w:rsidRDefault="00320A22" w:rsidP="00A26E5C">
            <w:pPr>
              <w:widowControl w:val="0"/>
              <w:contextualSpacing/>
              <w:jc w:val="both"/>
              <w:rPr>
                <w:rFonts w:ascii="Arial" w:hAnsi="Arial" w:cs="Arial"/>
                <w:color w:val="FF0000"/>
              </w:rPr>
            </w:pPr>
          </w:p>
          <w:p w:rsidR="00A26E5C" w:rsidRPr="0067327A" w:rsidRDefault="00A26E5C" w:rsidP="00A26E5C">
            <w:pPr>
              <w:widowControl w:val="0"/>
              <w:contextualSpacing/>
              <w:jc w:val="both"/>
              <w:rPr>
                <w:rFonts w:ascii="Arial" w:hAnsi="Arial" w:cs="Arial"/>
                <w:b/>
                <w:color w:val="000000" w:themeColor="text1"/>
              </w:rPr>
            </w:pPr>
            <w:r w:rsidRPr="0067327A">
              <w:rPr>
                <w:rFonts w:ascii="Arial" w:hAnsi="Arial" w:cs="Arial"/>
                <w:b/>
                <w:color w:val="000000" w:themeColor="text1"/>
              </w:rPr>
              <w:t xml:space="preserve">CEA (Bonus) Payments </w:t>
            </w:r>
          </w:p>
          <w:p w:rsidR="0067327A" w:rsidRPr="0067327A" w:rsidRDefault="0067327A" w:rsidP="0067327A">
            <w:pPr>
              <w:rPr>
                <w:rFonts w:ascii="Arial" w:hAnsi="Arial" w:cs="Arial"/>
                <w:color w:val="000000" w:themeColor="text1"/>
              </w:rPr>
            </w:pPr>
            <w:r w:rsidRPr="0067327A">
              <w:rPr>
                <w:rFonts w:ascii="Arial" w:hAnsi="Arial" w:cs="Arial"/>
                <w:color w:val="000000" w:themeColor="text1"/>
              </w:rPr>
              <w:t xml:space="preserve">The only bonuses paid in the time frame covered by this Report (1st April 2019 to 31st March 2020) were to Medical Consultants, in the form of CEAs and distinction awards. There were 210 bonuses paid in the period, 69 were to female consultants and 141 were to male consultants. When compared with the proportion of male Consultants to female Consultants, 67% of bonuses were paid to male consultants </w:t>
            </w:r>
            <w:r w:rsidR="00763CEC">
              <w:rPr>
                <w:rFonts w:ascii="Arial" w:hAnsi="Arial" w:cs="Arial"/>
                <w:color w:val="000000" w:themeColor="text1"/>
              </w:rPr>
              <w:t>who</w:t>
            </w:r>
            <w:r w:rsidRPr="0067327A">
              <w:rPr>
                <w:rFonts w:ascii="Arial" w:hAnsi="Arial" w:cs="Arial"/>
                <w:color w:val="000000" w:themeColor="text1"/>
              </w:rPr>
              <w:t xml:space="preserve"> make up 65% of all consultant</w:t>
            </w:r>
            <w:r w:rsidR="00763CEC">
              <w:rPr>
                <w:rFonts w:ascii="Arial" w:hAnsi="Arial" w:cs="Arial"/>
                <w:color w:val="000000" w:themeColor="text1"/>
              </w:rPr>
              <w:t xml:space="preserve"> post</w:t>
            </w:r>
            <w:r w:rsidRPr="0067327A">
              <w:rPr>
                <w:rFonts w:ascii="Arial" w:hAnsi="Arial" w:cs="Arial"/>
                <w:color w:val="000000" w:themeColor="text1"/>
              </w:rPr>
              <w:t xml:space="preserve">s, and 33% were paid to female consultants, </w:t>
            </w:r>
            <w:r w:rsidR="00763CEC">
              <w:rPr>
                <w:rFonts w:ascii="Arial" w:hAnsi="Arial" w:cs="Arial"/>
                <w:color w:val="000000" w:themeColor="text1"/>
              </w:rPr>
              <w:t>who</w:t>
            </w:r>
            <w:r w:rsidRPr="0067327A">
              <w:rPr>
                <w:rFonts w:ascii="Arial" w:hAnsi="Arial" w:cs="Arial"/>
                <w:color w:val="000000" w:themeColor="text1"/>
              </w:rPr>
              <w:t xml:space="preserve"> make up 35% of all consultant</w:t>
            </w:r>
            <w:r w:rsidR="00763CEC">
              <w:rPr>
                <w:rFonts w:ascii="Arial" w:hAnsi="Arial" w:cs="Arial"/>
                <w:color w:val="000000" w:themeColor="text1"/>
              </w:rPr>
              <w:t xml:space="preserve"> post</w:t>
            </w:r>
            <w:r w:rsidRPr="0067327A">
              <w:rPr>
                <w:rFonts w:ascii="Arial" w:hAnsi="Arial" w:cs="Arial"/>
                <w:color w:val="000000" w:themeColor="text1"/>
              </w:rPr>
              <w:t xml:space="preserve">s. </w:t>
            </w:r>
          </w:p>
          <w:p w:rsidR="0067327A" w:rsidRPr="0067327A" w:rsidRDefault="0067327A" w:rsidP="0067327A">
            <w:pPr>
              <w:rPr>
                <w:rFonts w:ascii="Arial" w:hAnsi="Arial" w:cs="Arial"/>
                <w:b/>
                <w:color w:val="000000" w:themeColor="text1"/>
              </w:rPr>
            </w:pPr>
            <w:r w:rsidRPr="0067327A">
              <w:rPr>
                <w:rFonts w:ascii="Arial" w:hAnsi="Arial" w:cs="Arial"/>
                <w:b/>
                <w:color w:val="000000" w:themeColor="text1"/>
              </w:rPr>
              <w:t>Following efforts to encourage more female staff to apply for CEA over the last 3 years, the Mean GPG has reduced to 43% from 46.6% last year, and the Median has reduced to 40% from 61.6% in 2019.</w:t>
            </w:r>
          </w:p>
          <w:p w:rsidR="00A26E5C" w:rsidRPr="0067327A" w:rsidRDefault="00A26E5C" w:rsidP="00A26E5C">
            <w:pPr>
              <w:rPr>
                <w:rFonts w:ascii="Arial" w:hAnsi="Arial" w:cs="Arial"/>
                <w:b/>
                <w:color w:val="FF0000"/>
              </w:rPr>
            </w:pPr>
          </w:p>
          <w:p w:rsidR="00A26E5C" w:rsidRPr="0067327A" w:rsidRDefault="00A26E5C" w:rsidP="00A26E5C">
            <w:pPr>
              <w:rPr>
                <w:rFonts w:ascii="Arial" w:hAnsi="Arial" w:cs="Arial"/>
                <w:b/>
                <w:color w:val="000000" w:themeColor="text1"/>
                <w:u w:val="single"/>
              </w:rPr>
            </w:pPr>
            <w:r w:rsidRPr="0067327A">
              <w:rPr>
                <w:rFonts w:ascii="Arial" w:hAnsi="Arial" w:cs="Arial"/>
                <w:b/>
                <w:color w:val="000000" w:themeColor="text1"/>
                <w:u w:val="single"/>
              </w:rPr>
              <w:t>Conclusion</w:t>
            </w:r>
          </w:p>
          <w:p w:rsidR="0067327A" w:rsidRDefault="00A26E5C" w:rsidP="00A26E5C">
            <w:pPr>
              <w:widowControl w:val="0"/>
              <w:contextualSpacing/>
              <w:jc w:val="both"/>
              <w:rPr>
                <w:rFonts w:ascii="Arial" w:hAnsi="Arial" w:cs="Arial"/>
                <w:color w:val="000000" w:themeColor="text1"/>
              </w:rPr>
            </w:pPr>
            <w:r w:rsidRPr="0067327A">
              <w:rPr>
                <w:rFonts w:ascii="Arial" w:hAnsi="Arial" w:cs="Arial"/>
                <w:color w:val="000000" w:themeColor="text1"/>
              </w:rPr>
              <w:t xml:space="preserve">The Gloucestershire Hospitals NHS Foundation Trust gender pay gap </w:t>
            </w:r>
            <w:r w:rsidR="0067327A" w:rsidRPr="00A26E5C">
              <w:rPr>
                <w:rFonts w:ascii="Arial" w:hAnsi="Arial" w:cs="Arial"/>
                <w:b/>
              </w:rPr>
              <w:t>at 31 March 2020</w:t>
            </w:r>
            <w:r w:rsidR="0067327A">
              <w:rPr>
                <w:rFonts w:ascii="Arial" w:hAnsi="Arial" w:cs="Arial"/>
                <w:b/>
              </w:rPr>
              <w:t xml:space="preserve">, </w:t>
            </w:r>
            <w:r w:rsidRPr="0067327A">
              <w:rPr>
                <w:rFonts w:ascii="Arial" w:hAnsi="Arial" w:cs="Arial"/>
                <w:color w:val="000000" w:themeColor="text1"/>
              </w:rPr>
              <w:t>is reported at</w:t>
            </w:r>
            <w:r w:rsidR="0067327A">
              <w:rPr>
                <w:rFonts w:ascii="Arial" w:hAnsi="Arial" w:cs="Arial"/>
                <w:color w:val="000000" w:themeColor="text1"/>
              </w:rPr>
              <w:t>:</w:t>
            </w:r>
          </w:p>
          <w:p w:rsidR="0067327A" w:rsidRPr="00A26E5C" w:rsidRDefault="0067327A" w:rsidP="0067327A">
            <w:pPr>
              <w:pStyle w:val="ListParagraph"/>
              <w:numPr>
                <w:ilvl w:val="0"/>
                <w:numId w:val="4"/>
              </w:numPr>
              <w:jc w:val="both"/>
              <w:rPr>
                <w:rFonts w:ascii="Arial" w:hAnsi="Arial" w:cs="Arial"/>
                <w:b/>
              </w:rPr>
            </w:pPr>
            <w:r w:rsidRPr="00A26E5C">
              <w:rPr>
                <w:rFonts w:ascii="Arial" w:hAnsi="Arial" w:cs="Arial"/>
                <w:b/>
              </w:rPr>
              <w:t>Median gender pay gap, 19.8% in favour of male employees (20.3% in 2019)</w:t>
            </w:r>
          </w:p>
          <w:p w:rsidR="0067327A" w:rsidRDefault="0067327A" w:rsidP="0067327A">
            <w:pPr>
              <w:pStyle w:val="ListParagraph"/>
              <w:numPr>
                <w:ilvl w:val="0"/>
                <w:numId w:val="4"/>
              </w:numPr>
              <w:jc w:val="both"/>
              <w:rPr>
                <w:rFonts w:ascii="Arial" w:hAnsi="Arial" w:cs="Arial"/>
                <w:b/>
              </w:rPr>
            </w:pPr>
            <w:r w:rsidRPr="00A26E5C">
              <w:rPr>
                <w:rFonts w:ascii="Arial" w:hAnsi="Arial" w:cs="Arial"/>
                <w:b/>
              </w:rPr>
              <w:t>Mean gender pay gap, 28.6% in favour of male employees (29.4% in 2019)</w:t>
            </w:r>
          </w:p>
          <w:p w:rsidR="0067327A" w:rsidRPr="00F015B2" w:rsidRDefault="0067327A" w:rsidP="00F015B2">
            <w:pPr>
              <w:ind w:left="720"/>
              <w:jc w:val="both"/>
              <w:rPr>
                <w:rFonts w:ascii="Arial" w:hAnsi="Arial" w:cs="Arial"/>
                <w:b/>
              </w:rPr>
            </w:pPr>
          </w:p>
          <w:p w:rsidR="00A26E5C" w:rsidRPr="0067327A" w:rsidRDefault="00A26E5C" w:rsidP="00A26E5C">
            <w:pPr>
              <w:widowControl w:val="0"/>
              <w:contextualSpacing/>
              <w:jc w:val="both"/>
              <w:rPr>
                <w:rFonts w:ascii="Arial" w:hAnsi="Arial" w:cs="Arial"/>
                <w:color w:val="000000" w:themeColor="text1"/>
              </w:rPr>
            </w:pPr>
            <w:r w:rsidRPr="0067327A">
              <w:rPr>
                <w:rFonts w:ascii="Arial" w:hAnsi="Arial" w:cs="Arial"/>
                <w:color w:val="000000" w:themeColor="text1"/>
              </w:rPr>
              <w:t xml:space="preserve">These figures reflect the combined gender pay gap of both medical and non-medical staff.  </w:t>
            </w:r>
          </w:p>
          <w:p w:rsidR="0067327A" w:rsidRPr="0067327A" w:rsidRDefault="0067327A" w:rsidP="00A26E5C">
            <w:pPr>
              <w:widowControl w:val="0"/>
              <w:contextualSpacing/>
              <w:jc w:val="both"/>
              <w:rPr>
                <w:rFonts w:ascii="Arial" w:hAnsi="Arial" w:cs="Arial"/>
                <w:color w:val="000000" w:themeColor="text1"/>
              </w:rPr>
            </w:pPr>
          </w:p>
          <w:p w:rsidR="00A26E5C" w:rsidRPr="0067327A" w:rsidRDefault="00A26E5C" w:rsidP="00A26E5C">
            <w:pPr>
              <w:widowControl w:val="0"/>
              <w:contextualSpacing/>
              <w:jc w:val="both"/>
              <w:rPr>
                <w:rFonts w:ascii="Arial" w:hAnsi="Arial" w:cs="Arial"/>
                <w:color w:val="000000" w:themeColor="text1"/>
              </w:rPr>
            </w:pPr>
            <w:r w:rsidRPr="00E8703E">
              <w:rPr>
                <w:rFonts w:ascii="Arial" w:hAnsi="Arial" w:cs="Arial"/>
                <w:color w:val="000000" w:themeColor="text1"/>
              </w:rPr>
              <w:t>The People and O</w:t>
            </w:r>
            <w:r w:rsidR="00F015B2">
              <w:rPr>
                <w:rFonts w:ascii="Arial" w:hAnsi="Arial" w:cs="Arial"/>
                <w:color w:val="000000" w:themeColor="text1"/>
              </w:rPr>
              <w:t xml:space="preserve">rganisational </w:t>
            </w:r>
            <w:r w:rsidRPr="00E8703E">
              <w:rPr>
                <w:rFonts w:ascii="Arial" w:hAnsi="Arial" w:cs="Arial"/>
                <w:color w:val="000000" w:themeColor="text1"/>
              </w:rPr>
              <w:t>D</w:t>
            </w:r>
            <w:r w:rsidR="00F015B2">
              <w:rPr>
                <w:rFonts w:ascii="Arial" w:hAnsi="Arial" w:cs="Arial"/>
                <w:color w:val="000000" w:themeColor="text1"/>
              </w:rPr>
              <w:t>evelopment</w:t>
            </w:r>
            <w:r w:rsidRPr="00E8703E">
              <w:rPr>
                <w:rFonts w:ascii="Arial" w:hAnsi="Arial" w:cs="Arial"/>
                <w:color w:val="000000" w:themeColor="text1"/>
              </w:rPr>
              <w:t xml:space="preserve"> Committee are asked to </w:t>
            </w:r>
            <w:r w:rsidRPr="00E8703E">
              <w:rPr>
                <w:rFonts w:ascii="Arial" w:hAnsi="Arial" w:cs="Arial"/>
                <w:b/>
                <w:color w:val="000000" w:themeColor="text1"/>
              </w:rPr>
              <w:t>NOTE</w:t>
            </w:r>
            <w:r w:rsidRPr="00E8703E">
              <w:rPr>
                <w:rFonts w:ascii="Arial" w:hAnsi="Arial" w:cs="Arial"/>
                <w:color w:val="000000" w:themeColor="text1"/>
              </w:rPr>
              <w:t xml:space="preserve"> that the gender pay gap can be objectively explained, when we consider the application of terms and conditions which are set nationally and reward length of service.  Furthermore, there is no significant Gender Pay Gap reported across our Non- Medical workforce, which accounts for </w:t>
            </w:r>
            <w:r w:rsidR="00C534B3" w:rsidRPr="00E8703E">
              <w:rPr>
                <w:rFonts w:ascii="Arial" w:hAnsi="Arial" w:cs="Arial"/>
                <w:color w:val="000000" w:themeColor="text1"/>
              </w:rPr>
              <w:t>approximately 83%</w:t>
            </w:r>
            <w:r w:rsidRPr="00E8703E">
              <w:rPr>
                <w:rFonts w:ascii="Arial" w:hAnsi="Arial" w:cs="Arial"/>
                <w:color w:val="000000" w:themeColor="text1"/>
              </w:rPr>
              <w:t xml:space="preserve"> of the total workforce as a result of the agenda for change framework.</w:t>
            </w:r>
          </w:p>
          <w:p w:rsidR="00A26E5C" w:rsidRPr="00C534B3" w:rsidRDefault="00A26E5C" w:rsidP="00A26E5C">
            <w:pPr>
              <w:widowControl w:val="0"/>
              <w:contextualSpacing/>
              <w:jc w:val="both"/>
              <w:rPr>
                <w:rFonts w:ascii="Arial" w:hAnsi="Arial" w:cs="Arial"/>
                <w:color w:val="000000" w:themeColor="text1"/>
              </w:rPr>
            </w:pPr>
          </w:p>
          <w:p w:rsidR="00A26E5C" w:rsidRPr="00C534B3" w:rsidRDefault="00A26E5C" w:rsidP="00A26E5C">
            <w:pPr>
              <w:rPr>
                <w:rFonts w:ascii="Arial" w:hAnsi="Arial" w:cs="Arial"/>
                <w:color w:val="000000" w:themeColor="text1"/>
              </w:rPr>
            </w:pPr>
            <w:r w:rsidRPr="00C534B3">
              <w:rPr>
                <w:rFonts w:ascii="Arial" w:hAnsi="Arial" w:cs="Arial"/>
                <w:color w:val="000000" w:themeColor="text1"/>
              </w:rPr>
              <w:t xml:space="preserve">With regard to the distribution of Clinical Excellence Awards, </w:t>
            </w:r>
            <w:r w:rsidR="00E8703E">
              <w:rPr>
                <w:rFonts w:ascii="Arial" w:hAnsi="Arial" w:cs="Arial"/>
                <w:color w:val="000000" w:themeColor="text1"/>
              </w:rPr>
              <w:t>the People and O</w:t>
            </w:r>
            <w:r w:rsidR="00F015B2">
              <w:rPr>
                <w:rFonts w:ascii="Arial" w:hAnsi="Arial" w:cs="Arial"/>
                <w:color w:val="000000" w:themeColor="text1"/>
              </w:rPr>
              <w:t xml:space="preserve">rganisational </w:t>
            </w:r>
            <w:r w:rsidR="00E8703E">
              <w:rPr>
                <w:rFonts w:ascii="Arial" w:hAnsi="Arial" w:cs="Arial"/>
                <w:color w:val="000000" w:themeColor="text1"/>
              </w:rPr>
              <w:t>D</w:t>
            </w:r>
            <w:r w:rsidR="00F015B2">
              <w:rPr>
                <w:rFonts w:ascii="Arial" w:hAnsi="Arial" w:cs="Arial"/>
                <w:color w:val="000000" w:themeColor="text1"/>
              </w:rPr>
              <w:t>evelopment</w:t>
            </w:r>
            <w:r w:rsidR="00E8703E">
              <w:rPr>
                <w:rFonts w:ascii="Arial" w:hAnsi="Arial" w:cs="Arial"/>
                <w:color w:val="000000" w:themeColor="text1"/>
              </w:rPr>
              <w:t xml:space="preserve"> Committee</w:t>
            </w:r>
            <w:r w:rsidRPr="00C534B3">
              <w:rPr>
                <w:rFonts w:ascii="Arial" w:hAnsi="Arial" w:cs="Arial"/>
                <w:color w:val="000000" w:themeColor="text1"/>
              </w:rPr>
              <w:t xml:space="preserve"> are asked to </w:t>
            </w:r>
            <w:r w:rsidRPr="00C534B3">
              <w:rPr>
                <w:rFonts w:ascii="Arial" w:hAnsi="Arial" w:cs="Arial"/>
                <w:b/>
                <w:color w:val="000000" w:themeColor="text1"/>
              </w:rPr>
              <w:t xml:space="preserve">NOTE </w:t>
            </w:r>
            <w:r w:rsidRPr="00C534B3">
              <w:rPr>
                <w:rFonts w:ascii="Arial" w:hAnsi="Arial" w:cs="Arial"/>
                <w:color w:val="000000" w:themeColor="text1"/>
              </w:rPr>
              <w:t>the</w:t>
            </w:r>
            <w:r w:rsidR="00C534B3" w:rsidRPr="00C534B3">
              <w:rPr>
                <w:rFonts w:ascii="Arial" w:hAnsi="Arial" w:cs="Arial"/>
                <w:color w:val="000000" w:themeColor="text1"/>
              </w:rPr>
              <w:t xml:space="preserve"> trend reported in previous</w:t>
            </w:r>
            <w:r w:rsidRPr="00C534B3">
              <w:rPr>
                <w:rFonts w:ascii="Arial" w:hAnsi="Arial" w:cs="Arial"/>
                <w:color w:val="000000" w:themeColor="text1"/>
              </w:rPr>
              <w:t xml:space="preserve"> gender pay gap</w:t>
            </w:r>
            <w:r w:rsidR="00C534B3" w:rsidRPr="00C534B3">
              <w:rPr>
                <w:rFonts w:ascii="Arial" w:hAnsi="Arial" w:cs="Arial"/>
                <w:color w:val="000000" w:themeColor="text1"/>
              </w:rPr>
              <w:t xml:space="preserve"> reports</w:t>
            </w:r>
            <w:r w:rsidRPr="00C534B3">
              <w:rPr>
                <w:rFonts w:ascii="Arial" w:hAnsi="Arial" w:cs="Arial"/>
                <w:b/>
                <w:color w:val="000000" w:themeColor="text1"/>
              </w:rPr>
              <w:t xml:space="preserve"> </w:t>
            </w:r>
            <w:r w:rsidRPr="00C534B3">
              <w:rPr>
                <w:rFonts w:ascii="Arial" w:hAnsi="Arial" w:cs="Arial"/>
                <w:color w:val="000000" w:themeColor="text1"/>
              </w:rPr>
              <w:t xml:space="preserve">associated with the proportion of male to female consultants receiving levels 8 and above. </w:t>
            </w:r>
          </w:p>
          <w:p w:rsidR="00C534B3" w:rsidRPr="0067327A" w:rsidRDefault="00C534B3" w:rsidP="00A26E5C">
            <w:pPr>
              <w:rPr>
                <w:rFonts w:ascii="Arial" w:hAnsi="Arial" w:cs="Arial"/>
                <w:color w:val="FF0000"/>
              </w:rPr>
            </w:pPr>
          </w:p>
          <w:p w:rsidR="00A26E5C" w:rsidRPr="00C534B3" w:rsidRDefault="00A26E5C" w:rsidP="00A26E5C">
            <w:pPr>
              <w:rPr>
                <w:rFonts w:ascii="Arial" w:hAnsi="Arial" w:cs="Arial"/>
                <w:color w:val="000000" w:themeColor="text1"/>
                <w:u w:val="single"/>
              </w:rPr>
            </w:pPr>
            <w:r w:rsidRPr="0017167E">
              <w:rPr>
                <w:rFonts w:ascii="Arial" w:hAnsi="Arial" w:cs="Arial"/>
                <w:color w:val="000000" w:themeColor="text1"/>
              </w:rPr>
              <w:t xml:space="preserve">The gender pay report continues to evidence the assumption that the overarching pay gap is associated with length of service of a number of senior male Doctors; with further analysis demonstrating that the number of females both entering the Medical workforce and existing staff within pay quartiles 1-3 will lead to a reverse in this pay gap in future years.  The committee are therefore advised that as such, the current pay gap is </w:t>
            </w:r>
            <w:r w:rsidR="00C534B3" w:rsidRPr="0017167E">
              <w:rPr>
                <w:rFonts w:ascii="Arial" w:hAnsi="Arial" w:cs="Arial"/>
                <w:color w:val="000000" w:themeColor="text1"/>
              </w:rPr>
              <w:t>a consequence of the application nationally driven terms and conditions and clinical excellence awards</w:t>
            </w:r>
            <w:r w:rsidRPr="0017167E">
              <w:rPr>
                <w:rFonts w:ascii="Arial" w:hAnsi="Arial" w:cs="Arial"/>
                <w:color w:val="000000" w:themeColor="text1"/>
              </w:rPr>
              <w:t>.</w:t>
            </w:r>
            <w:r w:rsidRPr="00C534B3">
              <w:rPr>
                <w:rFonts w:ascii="Arial" w:hAnsi="Arial" w:cs="Arial"/>
                <w:color w:val="000000" w:themeColor="text1"/>
              </w:rPr>
              <w:t xml:space="preserve">  </w:t>
            </w:r>
          </w:p>
          <w:p w:rsidR="009123A0" w:rsidRPr="00CB0DCE" w:rsidRDefault="009123A0" w:rsidP="009123A0">
            <w:pPr>
              <w:rPr>
                <w:rFonts w:ascii="Arial" w:hAnsi="Arial" w:cs="Arial"/>
              </w:rPr>
            </w:pPr>
          </w:p>
        </w:tc>
      </w:tr>
      <w:tr w:rsidR="009123A0" w:rsidRPr="00CB0DCE" w:rsidTr="00DE68C6">
        <w:tc>
          <w:tcPr>
            <w:tcW w:w="10205" w:type="dxa"/>
            <w:gridSpan w:val="10"/>
            <w:shd w:val="clear" w:color="auto" w:fill="DBE5F1" w:themeFill="accent1" w:themeFillTint="33"/>
          </w:tcPr>
          <w:p w:rsidR="009123A0" w:rsidRPr="00CB0DCE" w:rsidRDefault="009123A0" w:rsidP="00DE68C6">
            <w:pPr>
              <w:spacing w:line="360" w:lineRule="auto"/>
              <w:jc w:val="center"/>
              <w:rPr>
                <w:rFonts w:ascii="Arial" w:hAnsi="Arial" w:cs="Arial"/>
                <w:b/>
              </w:rPr>
            </w:pPr>
            <w:r w:rsidRPr="00CB0DCE">
              <w:rPr>
                <w:rFonts w:ascii="Arial" w:hAnsi="Arial" w:cs="Arial"/>
                <w:b/>
              </w:rPr>
              <w:lastRenderedPageBreak/>
              <w:t>Recommendations</w:t>
            </w:r>
          </w:p>
        </w:tc>
      </w:tr>
      <w:tr w:rsidR="009123A0" w:rsidRPr="00CB0DCE" w:rsidTr="00DE68C6">
        <w:tc>
          <w:tcPr>
            <w:tcW w:w="10205" w:type="dxa"/>
            <w:gridSpan w:val="10"/>
            <w:tcBorders>
              <w:bottom w:val="single" w:sz="4" w:space="0" w:color="auto"/>
            </w:tcBorders>
          </w:tcPr>
          <w:p w:rsidR="009123A0" w:rsidRPr="00A26E5C" w:rsidRDefault="009123A0" w:rsidP="00DE68C6">
            <w:pPr>
              <w:rPr>
                <w:rFonts w:ascii="Arial" w:hAnsi="Arial" w:cs="Arial"/>
                <w:b/>
                <w:u w:val="single"/>
              </w:rPr>
            </w:pPr>
          </w:p>
          <w:p w:rsidR="00A26E5C" w:rsidRPr="00A26E5C" w:rsidRDefault="00A26E5C" w:rsidP="00A26E5C">
            <w:pPr>
              <w:rPr>
                <w:rFonts w:ascii="Arial" w:hAnsi="Arial" w:cs="Arial"/>
              </w:rPr>
            </w:pPr>
            <w:r w:rsidRPr="00A26E5C">
              <w:rPr>
                <w:rFonts w:ascii="Arial" w:hAnsi="Arial" w:cs="Arial"/>
                <w:color w:val="000000" w:themeColor="text1"/>
              </w:rPr>
              <w:t>The People and O</w:t>
            </w:r>
            <w:r w:rsidR="00F015B2">
              <w:rPr>
                <w:rFonts w:ascii="Arial" w:hAnsi="Arial" w:cs="Arial"/>
                <w:color w:val="000000" w:themeColor="text1"/>
              </w:rPr>
              <w:t xml:space="preserve">rganisational </w:t>
            </w:r>
            <w:r w:rsidRPr="00A26E5C">
              <w:rPr>
                <w:rFonts w:ascii="Arial" w:hAnsi="Arial" w:cs="Arial"/>
                <w:color w:val="000000" w:themeColor="text1"/>
              </w:rPr>
              <w:t>D</w:t>
            </w:r>
            <w:r w:rsidR="00F015B2">
              <w:rPr>
                <w:rFonts w:ascii="Arial" w:hAnsi="Arial" w:cs="Arial"/>
                <w:color w:val="000000" w:themeColor="text1"/>
              </w:rPr>
              <w:t>evelopment</w:t>
            </w:r>
            <w:r w:rsidRPr="00A26E5C">
              <w:rPr>
                <w:rFonts w:ascii="Arial" w:hAnsi="Arial" w:cs="Arial"/>
                <w:color w:val="000000" w:themeColor="text1"/>
              </w:rPr>
              <w:t xml:space="preserve"> Committee </w:t>
            </w:r>
            <w:r w:rsidRPr="00A26E5C">
              <w:rPr>
                <w:rFonts w:ascii="Arial" w:hAnsi="Arial" w:cs="Arial"/>
              </w:rPr>
              <w:t xml:space="preserve">are required to receive this report in line with our legal requirements and in advance of presentation to Trust Board and upload to the national portal during March 2020.  In line with reporting requirements, this report will also be made available via the Trust intranet following receipt by Trust Board. </w:t>
            </w:r>
          </w:p>
          <w:p w:rsidR="009123A0" w:rsidRPr="00CB0DCE" w:rsidRDefault="009123A0" w:rsidP="00DE68C6">
            <w:pPr>
              <w:rPr>
                <w:rFonts w:ascii="Arial" w:hAnsi="Arial" w:cs="Arial"/>
              </w:rPr>
            </w:pPr>
          </w:p>
        </w:tc>
      </w:tr>
      <w:tr w:rsidR="009123A0" w:rsidRPr="00CB0DCE" w:rsidTr="00DE68C6">
        <w:tc>
          <w:tcPr>
            <w:tcW w:w="10205" w:type="dxa"/>
            <w:gridSpan w:val="10"/>
            <w:shd w:val="clear" w:color="auto" w:fill="DBE5F1" w:themeFill="accent1" w:themeFillTint="33"/>
          </w:tcPr>
          <w:p w:rsidR="009123A0" w:rsidRPr="00CB0DCE" w:rsidRDefault="009123A0" w:rsidP="00DE68C6">
            <w:pPr>
              <w:spacing w:line="360" w:lineRule="auto"/>
              <w:jc w:val="center"/>
              <w:rPr>
                <w:rFonts w:ascii="Arial" w:hAnsi="Arial" w:cs="Arial"/>
                <w:b/>
              </w:rPr>
            </w:pPr>
            <w:r w:rsidRPr="00CB0DCE">
              <w:rPr>
                <w:rFonts w:ascii="Arial" w:hAnsi="Arial" w:cs="Arial"/>
                <w:b/>
              </w:rPr>
              <w:t>Impact Upon Strategic Objectives</w:t>
            </w:r>
          </w:p>
        </w:tc>
      </w:tr>
      <w:tr w:rsidR="009123A0" w:rsidRPr="00CB0DCE" w:rsidTr="00DE68C6">
        <w:tc>
          <w:tcPr>
            <w:tcW w:w="10205" w:type="dxa"/>
            <w:gridSpan w:val="10"/>
            <w:tcBorders>
              <w:bottom w:val="single" w:sz="4" w:space="0" w:color="auto"/>
            </w:tcBorders>
          </w:tcPr>
          <w:p w:rsidR="00A26E5C" w:rsidRPr="00A26E5C" w:rsidRDefault="00A26E5C" w:rsidP="00A26E5C">
            <w:pPr>
              <w:rPr>
                <w:rFonts w:ascii="Arial" w:hAnsi="Arial" w:cs="Arial"/>
              </w:rPr>
            </w:pPr>
            <w:r w:rsidRPr="00A26E5C">
              <w:rPr>
                <w:rFonts w:ascii="Arial" w:hAnsi="Arial" w:cs="Arial"/>
              </w:rPr>
              <w:t xml:space="preserve">Ensuring the Trust offer an equitable employment experience is fundamental to the achievement of our strategic objective: </w:t>
            </w:r>
            <w:r w:rsidRPr="00A26E5C">
              <w:rPr>
                <w:rFonts w:ascii="Arial" w:hAnsi="Arial" w:cs="Arial"/>
                <w:bCs/>
                <w:i/>
                <w:lang w:eastAsia="en-GB"/>
              </w:rPr>
              <w:t xml:space="preserve">We have a compassionate, skilful and sustainable workforce, organised around </w:t>
            </w:r>
            <w:r w:rsidRPr="00A26E5C">
              <w:rPr>
                <w:rFonts w:ascii="Arial" w:hAnsi="Arial" w:cs="Arial"/>
                <w:bCs/>
                <w:i/>
                <w:lang w:eastAsia="en-GB"/>
              </w:rPr>
              <w:lastRenderedPageBreak/>
              <w:t>the patient, that describes us as an outstanding employer who attracts, develops and retains the very best people</w:t>
            </w:r>
          </w:p>
          <w:p w:rsidR="009123A0" w:rsidRPr="00CB0DCE" w:rsidRDefault="009123A0" w:rsidP="00DE68C6">
            <w:pPr>
              <w:rPr>
                <w:rFonts w:ascii="Arial" w:hAnsi="Arial" w:cs="Arial"/>
              </w:rPr>
            </w:pPr>
          </w:p>
        </w:tc>
      </w:tr>
      <w:tr w:rsidR="009123A0" w:rsidRPr="00CB0DCE" w:rsidTr="00DE68C6">
        <w:tc>
          <w:tcPr>
            <w:tcW w:w="10205" w:type="dxa"/>
            <w:gridSpan w:val="10"/>
            <w:shd w:val="clear" w:color="auto" w:fill="DBE5F1" w:themeFill="accent1" w:themeFillTint="33"/>
          </w:tcPr>
          <w:p w:rsidR="009123A0" w:rsidRPr="00CB0DCE" w:rsidRDefault="009123A0" w:rsidP="00DE68C6">
            <w:pPr>
              <w:spacing w:line="360" w:lineRule="auto"/>
              <w:jc w:val="center"/>
              <w:rPr>
                <w:rFonts w:ascii="Arial" w:hAnsi="Arial" w:cs="Arial"/>
                <w:b/>
              </w:rPr>
            </w:pPr>
            <w:r w:rsidRPr="00CB0DCE">
              <w:rPr>
                <w:rFonts w:ascii="Arial" w:hAnsi="Arial" w:cs="Arial"/>
                <w:b/>
              </w:rPr>
              <w:lastRenderedPageBreak/>
              <w:t>Impact Upon Corporate Risks</w:t>
            </w:r>
          </w:p>
        </w:tc>
      </w:tr>
      <w:tr w:rsidR="009123A0" w:rsidRPr="00CB0DCE" w:rsidTr="00DE68C6">
        <w:tc>
          <w:tcPr>
            <w:tcW w:w="10205" w:type="dxa"/>
            <w:gridSpan w:val="10"/>
            <w:tcBorders>
              <w:bottom w:val="single" w:sz="4" w:space="0" w:color="auto"/>
            </w:tcBorders>
          </w:tcPr>
          <w:p w:rsidR="009123A0" w:rsidRDefault="00A26E5C" w:rsidP="009123A0">
            <w:pPr>
              <w:rPr>
                <w:rFonts w:ascii="Arial" w:hAnsi="Arial" w:cs="Arial"/>
              </w:rPr>
            </w:pPr>
            <w:r>
              <w:rPr>
                <w:rFonts w:ascii="Arial" w:hAnsi="Arial" w:cs="Arial"/>
              </w:rPr>
              <w:t>None</w:t>
            </w:r>
          </w:p>
          <w:p w:rsidR="00FB7DE9" w:rsidRPr="00CB0DCE" w:rsidRDefault="00FB7DE9" w:rsidP="009123A0">
            <w:pPr>
              <w:rPr>
                <w:rFonts w:ascii="Arial" w:hAnsi="Arial" w:cs="Arial"/>
              </w:rPr>
            </w:pPr>
          </w:p>
        </w:tc>
      </w:tr>
      <w:tr w:rsidR="009123A0" w:rsidRPr="00CB0DCE" w:rsidTr="00DE68C6">
        <w:tc>
          <w:tcPr>
            <w:tcW w:w="10205" w:type="dxa"/>
            <w:gridSpan w:val="10"/>
            <w:shd w:val="clear" w:color="auto" w:fill="DBE5F1" w:themeFill="accent1" w:themeFillTint="33"/>
          </w:tcPr>
          <w:p w:rsidR="009123A0" w:rsidRPr="00CB0DCE" w:rsidRDefault="009123A0" w:rsidP="00DE68C6">
            <w:pPr>
              <w:spacing w:line="360" w:lineRule="auto"/>
              <w:jc w:val="center"/>
              <w:rPr>
                <w:rFonts w:ascii="Arial" w:hAnsi="Arial" w:cs="Arial"/>
                <w:b/>
              </w:rPr>
            </w:pPr>
            <w:r w:rsidRPr="00CB0DCE">
              <w:rPr>
                <w:rFonts w:ascii="Arial" w:hAnsi="Arial" w:cs="Arial"/>
                <w:b/>
              </w:rPr>
              <w:t>Regulatory and/or Legal Implications</w:t>
            </w:r>
          </w:p>
        </w:tc>
      </w:tr>
      <w:tr w:rsidR="009123A0" w:rsidRPr="00CB0DCE" w:rsidTr="00DE68C6">
        <w:tc>
          <w:tcPr>
            <w:tcW w:w="10205" w:type="dxa"/>
            <w:gridSpan w:val="10"/>
            <w:tcBorders>
              <w:bottom w:val="single" w:sz="4" w:space="0" w:color="auto"/>
            </w:tcBorders>
          </w:tcPr>
          <w:p w:rsidR="009123A0" w:rsidRPr="00F015B2" w:rsidRDefault="00FB7DE9" w:rsidP="00F015B2">
            <w:pPr>
              <w:pStyle w:val="NoSpacing"/>
              <w:tabs>
                <w:tab w:val="left" w:pos="284"/>
              </w:tabs>
              <w:rPr>
                <w:rFonts w:ascii="Arial Narrow" w:hAnsi="Arial Narrow" w:cs="Arial"/>
                <w:b/>
                <w:sz w:val="24"/>
                <w:szCs w:val="24"/>
                <w:u w:val="single"/>
              </w:rPr>
            </w:pPr>
            <w:r w:rsidRPr="009123A0">
              <w:rPr>
                <w:rFonts w:ascii="Arial" w:hAnsi="Arial" w:cs="Arial"/>
              </w:rPr>
              <w:t>The Equality Act 2010 (Specific Duties and Public Authorities) Regulations 2017 (</w:t>
            </w:r>
            <w:r w:rsidRPr="009123A0">
              <w:rPr>
                <w:rFonts w:ascii="Arial" w:hAnsi="Arial" w:cs="Arial"/>
                <w:b/>
                <w:i/>
                <w:iCs/>
              </w:rPr>
              <w:t>the Regulations</w:t>
            </w:r>
            <w:r w:rsidRPr="009123A0">
              <w:rPr>
                <w:rFonts w:ascii="Arial" w:hAnsi="Arial" w:cs="Arial"/>
              </w:rPr>
              <w:t>) require public sector organisations with over 250 employees to report on and publish their gender pay gap on a yearly basis. This is based on a snapshot from 31st March of each year, and each organisation is duty bound to publish information on their website. This report captures data as at 31st March 2020.</w:t>
            </w:r>
          </w:p>
        </w:tc>
      </w:tr>
      <w:tr w:rsidR="009123A0" w:rsidRPr="00CB0DCE" w:rsidTr="00DE68C6">
        <w:tc>
          <w:tcPr>
            <w:tcW w:w="10205" w:type="dxa"/>
            <w:gridSpan w:val="10"/>
            <w:shd w:val="clear" w:color="auto" w:fill="DBE5F1" w:themeFill="accent1" w:themeFillTint="33"/>
          </w:tcPr>
          <w:p w:rsidR="009123A0" w:rsidRPr="00CB0DCE" w:rsidRDefault="009123A0" w:rsidP="00DE68C6">
            <w:pPr>
              <w:spacing w:line="360" w:lineRule="auto"/>
              <w:jc w:val="center"/>
              <w:rPr>
                <w:rFonts w:ascii="Arial" w:hAnsi="Arial" w:cs="Arial"/>
                <w:b/>
              </w:rPr>
            </w:pPr>
            <w:r w:rsidRPr="00CB0DCE">
              <w:rPr>
                <w:rFonts w:ascii="Arial" w:hAnsi="Arial" w:cs="Arial"/>
                <w:b/>
              </w:rPr>
              <w:t>Resource Implications</w:t>
            </w:r>
          </w:p>
        </w:tc>
      </w:tr>
      <w:tr w:rsidR="009123A0" w:rsidRPr="00CB0DCE" w:rsidTr="00DE68C6">
        <w:tc>
          <w:tcPr>
            <w:tcW w:w="3969" w:type="dxa"/>
            <w:gridSpan w:val="3"/>
          </w:tcPr>
          <w:p w:rsidR="009123A0" w:rsidRPr="00CB0DCE" w:rsidRDefault="009123A0" w:rsidP="00DE68C6">
            <w:pPr>
              <w:rPr>
                <w:rFonts w:ascii="Arial" w:hAnsi="Arial" w:cs="Arial"/>
              </w:rPr>
            </w:pPr>
            <w:r w:rsidRPr="00CB0DCE">
              <w:rPr>
                <w:rFonts w:ascii="Arial" w:hAnsi="Arial" w:cs="Arial"/>
              </w:rPr>
              <w:t xml:space="preserve">Finance </w:t>
            </w:r>
          </w:p>
        </w:tc>
        <w:tc>
          <w:tcPr>
            <w:tcW w:w="567" w:type="dxa"/>
            <w:gridSpan w:val="2"/>
          </w:tcPr>
          <w:p w:rsidR="009123A0" w:rsidRPr="00CB0DCE" w:rsidRDefault="009123A0" w:rsidP="00DE68C6">
            <w:pPr>
              <w:rPr>
                <w:rFonts w:ascii="Arial" w:hAnsi="Arial" w:cs="Arial"/>
                <w:b/>
              </w:rPr>
            </w:pPr>
          </w:p>
        </w:tc>
        <w:tc>
          <w:tcPr>
            <w:tcW w:w="4701" w:type="dxa"/>
            <w:gridSpan w:val="4"/>
          </w:tcPr>
          <w:p w:rsidR="009123A0" w:rsidRPr="00CB0DCE" w:rsidRDefault="009123A0" w:rsidP="00DE68C6">
            <w:pPr>
              <w:rPr>
                <w:rFonts w:ascii="Arial" w:hAnsi="Arial" w:cs="Arial"/>
              </w:rPr>
            </w:pPr>
            <w:r w:rsidRPr="00CB0DCE">
              <w:rPr>
                <w:rFonts w:ascii="Arial" w:hAnsi="Arial" w:cs="Arial"/>
              </w:rPr>
              <w:t>Information Management &amp; Technology</w:t>
            </w:r>
          </w:p>
        </w:tc>
        <w:tc>
          <w:tcPr>
            <w:tcW w:w="968" w:type="dxa"/>
          </w:tcPr>
          <w:p w:rsidR="009123A0" w:rsidRPr="00CB0DCE" w:rsidRDefault="009123A0" w:rsidP="00DE68C6">
            <w:pPr>
              <w:rPr>
                <w:rFonts w:ascii="Arial" w:hAnsi="Arial" w:cs="Arial"/>
              </w:rPr>
            </w:pPr>
          </w:p>
        </w:tc>
      </w:tr>
      <w:tr w:rsidR="009123A0" w:rsidRPr="00CB0DCE" w:rsidTr="00DE68C6">
        <w:tc>
          <w:tcPr>
            <w:tcW w:w="3969" w:type="dxa"/>
            <w:gridSpan w:val="3"/>
            <w:tcBorders>
              <w:bottom w:val="single" w:sz="4" w:space="0" w:color="auto"/>
            </w:tcBorders>
          </w:tcPr>
          <w:p w:rsidR="009123A0" w:rsidRPr="00CB0DCE" w:rsidRDefault="009123A0" w:rsidP="00DE68C6">
            <w:pPr>
              <w:rPr>
                <w:rFonts w:ascii="Arial" w:hAnsi="Arial" w:cs="Arial"/>
              </w:rPr>
            </w:pPr>
            <w:r w:rsidRPr="00CB0DCE">
              <w:rPr>
                <w:rFonts w:ascii="Arial" w:hAnsi="Arial" w:cs="Arial"/>
              </w:rPr>
              <w:t>Human Resources</w:t>
            </w:r>
          </w:p>
        </w:tc>
        <w:tc>
          <w:tcPr>
            <w:tcW w:w="567" w:type="dxa"/>
            <w:gridSpan w:val="2"/>
            <w:tcBorders>
              <w:bottom w:val="single" w:sz="4" w:space="0" w:color="auto"/>
            </w:tcBorders>
          </w:tcPr>
          <w:p w:rsidR="009123A0" w:rsidRPr="00CB0DCE" w:rsidRDefault="009123A0" w:rsidP="00DE68C6">
            <w:pPr>
              <w:rPr>
                <w:rFonts w:ascii="Arial" w:hAnsi="Arial" w:cs="Arial"/>
                <w:b/>
              </w:rPr>
            </w:pPr>
            <w:r w:rsidRPr="00CB0DCE">
              <w:rPr>
                <w:rFonts w:ascii="Arial" w:hAnsi="Arial" w:cs="Arial"/>
                <w:b/>
              </w:rPr>
              <w:t>X</w:t>
            </w:r>
          </w:p>
        </w:tc>
        <w:tc>
          <w:tcPr>
            <w:tcW w:w="4701" w:type="dxa"/>
            <w:gridSpan w:val="4"/>
            <w:tcBorders>
              <w:bottom w:val="single" w:sz="4" w:space="0" w:color="auto"/>
            </w:tcBorders>
          </w:tcPr>
          <w:p w:rsidR="009123A0" w:rsidRPr="00CB0DCE" w:rsidRDefault="009123A0" w:rsidP="00DE68C6">
            <w:pPr>
              <w:rPr>
                <w:rFonts w:ascii="Arial" w:hAnsi="Arial" w:cs="Arial"/>
              </w:rPr>
            </w:pPr>
            <w:r w:rsidRPr="00CB0DCE">
              <w:rPr>
                <w:rFonts w:ascii="Arial" w:hAnsi="Arial" w:cs="Arial"/>
              </w:rPr>
              <w:t>Buildings</w:t>
            </w:r>
          </w:p>
        </w:tc>
        <w:tc>
          <w:tcPr>
            <w:tcW w:w="968" w:type="dxa"/>
            <w:tcBorders>
              <w:bottom w:val="single" w:sz="4" w:space="0" w:color="auto"/>
            </w:tcBorders>
          </w:tcPr>
          <w:p w:rsidR="009123A0" w:rsidRPr="00CB0DCE" w:rsidRDefault="009123A0" w:rsidP="00DE68C6">
            <w:pPr>
              <w:rPr>
                <w:rFonts w:ascii="Arial" w:hAnsi="Arial" w:cs="Arial"/>
                <w:b/>
              </w:rPr>
            </w:pPr>
          </w:p>
        </w:tc>
      </w:tr>
      <w:tr w:rsidR="009123A0" w:rsidRPr="00CB0DCE" w:rsidTr="00DE68C6">
        <w:tc>
          <w:tcPr>
            <w:tcW w:w="9237" w:type="dxa"/>
            <w:gridSpan w:val="9"/>
            <w:tcBorders>
              <w:bottom w:val="single" w:sz="4" w:space="0" w:color="auto"/>
            </w:tcBorders>
          </w:tcPr>
          <w:p w:rsidR="009123A0" w:rsidRPr="00CB0DCE" w:rsidRDefault="009123A0" w:rsidP="00DE68C6">
            <w:pPr>
              <w:rPr>
                <w:rFonts w:ascii="Arial" w:hAnsi="Arial" w:cs="Arial"/>
              </w:rPr>
            </w:pPr>
          </w:p>
        </w:tc>
        <w:tc>
          <w:tcPr>
            <w:tcW w:w="968" w:type="dxa"/>
            <w:tcBorders>
              <w:bottom w:val="single" w:sz="4" w:space="0" w:color="auto"/>
            </w:tcBorders>
          </w:tcPr>
          <w:p w:rsidR="009123A0" w:rsidRPr="00CB0DCE" w:rsidRDefault="009123A0" w:rsidP="00DE68C6">
            <w:pPr>
              <w:rPr>
                <w:rFonts w:ascii="Arial" w:hAnsi="Arial" w:cs="Arial"/>
                <w:b/>
              </w:rPr>
            </w:pPr>
          </w:p>
        </w:tc>
      </w:tr>
      <w:tr w:rsidR="009123A0" w:rsidRPr="00CB0DCE" w:rsidTr="00DE68C6">
        <w:tc>
          <w:tcPr>
            <w:tcW w:w="10205" w:type="dxa"/>
            <w:gridSpan w:val="10"/>
            <w:shd w:val="clear" w:color="auto" w:fill="DBE5F1" w:themeFill="accent1" w:themeFillTint="33"/>
          </w:tcPr>
          <w:p w:rsidR="009123A0" w:rsidRPr="00CB0DCE" w:rsidRDefault="009123A0" w:rsidP="00DE68C6">
            <w:pPr>
              <w:tabs>
                <w:tab w:val="center" w:pos="4995"/>
                <w:tab w:val="left" w:pos="6960"/>
              </w:tabs>
              <w:spacing w:line="360" w:lineRule="auto"/>
              <w:rPr>
                <w:rFonts w:ascii="Arial" w:hAnsi="Arial" w:cs="Arial"/>
                <w:b/>
              </w:rPr>
            </w:pPr>
            <w:r w:rsidRPr="00CB0DCE">
              <w:rPr>
                <w:rFonts w:ascii="Arial" w:hAnsi="Arial" w:cs="Arial"/>
                <w:b/>
              </w:rPr>
              <w:tab/>
              <w:t>Action/Decision Required</w:t>
            </w:r>
            <w:r w:rsidRPr="00CB0DCE">
              <w:rPr>
                <w:rFonts w:ascii="Arial" w:hAnsi="Arial" w:cs="Arial"/>
                <w:b/>
              </w:rPr>
              <w:tab/>
            </w:r>
          </w:p>
        </w:tc>
      </w:tr>
      <w:tr w:rsidR="009123A0" w:rsidRPr="00CB0DCE" w:rsidTr="00DE68C6">
        <w:tc>
          <w:tcPr>
            <w:tcW w:w="1843" w:type="dxa"/>
          </w:tcPr>
          <w:p w:rsidR="009123A0" w:rsidRPr="00CB0DCE" w:rsidRDefault="009123A0" w:rsidP="00DE68C6">
            <w:pPr>
              <w:rPr>
                <w:rFonts w:ascii="Arial" w:hAnsi="Arial" w:cs="Arial"/>
              </w:rPr>
            </w:pPr>
            <w:r w:rsidRPr="00CB0DCE">
              <w:rPr>
                <w:rFonts w:ascii="Arial" w:hAnsi="Arial" w:cs="Arial"/>
              </w:rPr>
              <w:t>For Decision</w:t>
            </w:r>
          </w:p>
        </w:tc>
        <w:tc>
          <w:tcPr>
            <w:tcW w:w="567" w:type="dxa"/>
          </w:tcPr>
          <w:p w:rsidR="009123A0" w:rsidRPr="00CB0DCE" w:rsidRDefault="009123A0" w:rsidP="00DE68C6">
            <w:pPr>
              <w:rPr>
                <w:rFonts w:ascii="Arial" w:hAnsi="Arial" w:cs="Arial"/>
              </w:rPr>
            </w:pPr>
          </w:p>
        </w:tc>
        <w:tc>
          <w:tcPr>
            <w:tcW w:w="1985" w:type="dxa"/>
            <w:gridSpan w:val="2"/>
          </w:tcPr>
          <w:p w:rsidR="009123A0" w:rsidRPr="00CB0DCE" w:rsidRDefault="009123A0" w:rsidP="00DE68C6">
            <w:pPr>
              <w:rPr>
                <w:rFonts w:ascii="Arial" w:hAnsi="Arial" w:cs="Arial"/>
              </w:rPr>
            </w:pPr>
            <w:r w:rsidRPr="00CB0DCE">
              <w:rPr>
                <w:rFonts w:ascii="Arial" w:hAnsi="Arial" w:cs="Arial"/>
              </w:rPr>
              <w:t>For Assurance</w:t>
            </w:r>
          </w:p>
        </w:tc>
        <w:tc>
          <w:tcPr>
            <w:tcW w:w="567" w:type="dxa"/>
            <w:gridSpan w:val="2"/>
          </w:tcPr>
          <w:p w:rsidR="009123A0" w:rsidRPr="00CB0DCE" w:rsidRDefault="009123A0" w:rsidP="00DE68C6">
            <w:pPr>
              <w:rPr>
                <w:rFonts w:ascii="Arial" w:hAnsi="Arial" w:cs="Arial"/>
                <w:b/>
              </w:rPr>
            </w:pPr>
            <w:r w:rsidRPr="00CB0DCE">
              <w:rPr>
                <w:rFonts w:ascii="Arial" w:hAnsi="Arial" w:cs="Arial"/>
                <w:b/>
              </w:rPr>
              <w:t>√</w:t>
            </w:r>
          </w:p>
        </w:tc>
        <w:tc>
          <w:tcPr>
            <w:tcW w:w="1984" w:type="dxa"/>
          </w:tcPr>
          <w:p w:rsidR="009123A0" w:rsidRPr="00CB0DCE" w:rsidRDefault="009123A0" w:rsidP="00DE68C6">
            <w:pPr>
              <w:rPr>
                <w:rFonts w:ascii="Arial" w:hAnsi="Arial" w:cs="Arial"/>
              </w:rPr>
            </w:pPr>
            <w:r w:rsidRPr="00CB0DCE">
              <w:rPr>
                <w:rFonts w:ascii="Arial" w:hAnsi="Arial" w:cs="Arial"/>
              </w:rPr>
              <w:t>For Approval</w:t>
            </w:r>
          </w:p>
        </w:tc>
        <w:tc>
          <w:tcPr>
            <w:tcW w:w="425" w:type="dxa"/>
          </w:tcPr>
          <w:p w:rsidR="009123A0" w:rsidRPr="00CB0DCE" w:rsidRDefault="009123A0" w:rsidP="00DE68C6">
            <w:pPr>
              <w:rPr>
                <w:rFonts w:ascii="Arial" w:hAnsi="Arial" w:cs="Arial"/>
              </w:rPr>
            </w:pPr>
          </w:p>
        </w:tc>
        <w:tc>
          <w:tcPr>
            <w:tcW w:w="1866" w:type="dxa"/>
          </w:tcPr>
          <w:p w:rsidR="009123A0" w:rsidRPr="00CB0DCE" w:rsidRDefault="009123A0" w:rsidP="00DE68C6">
            <w:pPr>
              <w:rPr>
                <w:rFonts w:ascii="Arial" w:hAnsi="Arial" w:cs="Arial"/>
              </w:rPr>
            </w:pPr>
            <w:r w:rsidRPr="00CB0DCE">
              <w:rPr>
                <w:rFonts w:ascii="Arial" w:hAnsi="Arial" w:cs="Arial"/>
              </w:rPr>
              <w:t>For Information</w:t>
            </w:r>
          </w:p>
        </w:tc>
        <w:tc>
          <w:tcPr>
            <w:tcW w:w="968" w:type="dxa"/>
          </w:tcPr>
          <w:p w:rsidR="009123A0" w:rsidRPr="00CB0DCE" w:rsidRDefault="009123A0" w:rsidP="00DE68C6">
            <w:pPr>
              <w:rPr>
                <w:rFonts w:ascii="Arial" w:hAnsi="Arial" w:cs="Arial"/>
              </w:rPr>
            </w:pPr>
            <w:r w:rsidRPr="00CB0DCE">
              <w:rPr>
                <w:rFonts w:ascii="Arial" w:hAnsi="Arial" w:cs="Arial"/>
                <w:b/>
              </w:rPr>
              <w:t>√</w:t>
            </w:r>
          </w:p>
        </w:tc>
      </w:tr>
      <w:tr w:rsidR="00A26E5C" w:rsidRPr="00CB0DCE" w:rsidTr="00DE68C6">
        <w:tc>
          <w:tcPr>
            <w:tcW w:w="1843" w:type="dxa"/>
          </w:tcPr>
          <w:p w:rsidR="00A26E5C" w:rsidRPr="00CB0DCE" w:rsidRDefault="00A26E5C" w:rsidP="00DE68C6">
            <w:pPr>
              <w:rPr>
                <w:rFonts w:ascii="Arial" w:hAnsi="Arial" w:cs="Arial"/>
              </w:rPr>
            </w:pPr>
          </w:p>
        </w:tc>
        <w:tc>
          <w:tcPr>
            <w:tcW w:w="567" w:type="dxa"/>
          </w:tcPr>
          <w:p w:rsidR="00A26E5C" w:rsidRPr="00CB0DCE" w:rsidRDefault="00A26E5C" w:rsidP="00DE68C6">
            <w:pPr>
              <w:rPr>
                <w:rFonts w:ascii="Arial" w:hAnsi="Arial" w:cs="Arial"/>
              </w:rPr>
            </w:pPr>
          </w:p>
        </w:tc>
        <w:tc>
          <w:tcPr>
            <w:tcW w:w="1985" w:type="dxa"/>
            <w:gridSpan w:val="2"/>
          </w:tcPr>
          <w:p w:rsidR="00A26E5C" w:rsidRPr="00CB0DCE" w:rsidRDefault="00A26E5C" w:rsidP="00DE68C6">
            <w:pPr>
              <w:rPr>
                <w:rFonts w:ascii="Arial" w:hAnsi="Arial" w:cs="Arial"/>
              </w:rPr>
            </w:pPr>
          </w:p>
        </w:tc>
        <w:tc>
          <w:tcPr>
            <w:tcW w:w="567" w:type="dxa"/>
            <w:gridSpan w:val="2"/>
          </w:tcPr>
          <w:p w:rsidR="00A26E5C" w:rsidRPr="00CB0DCE" w:rsidRDefault="00A26E5C" w:rsidP="00DE68C6">
            <w:pPr>
              <w:rPr>
                <w:rFonts w:ascii="Arial" w:hAnsi="Arial" w:cs="Arial"/>
                <w:b/>
              </w:rPr>
            </w:pPr>
          </w:p>
        </w:tc>
        <w:tc>
          <w:tcPr>
            <w:tcW w:w="1984" w:type="dxa"/>
          </w:tcPr>
          <w:p w:rsidR="00A26E5C" w:rsidRPr="00CB0DCE" w:rsidRDefault="00A26E5C" w:rsidP="00DE68C6">
            <w:pPr>
              <w:rPr>
                <w:rFonts w:ascii="Arial" w:hAnsi="Arial" w:cs="Arial"/>
              </w:rPr>
            </w:pPr>
          </w:p>
        </w:tc>
        <w:tc>
          <w:tcPr>
            <w:tcW w:w="425" w:type="dxa"/>
          </w:tcPr>
          <w:p w:rsidR="00A26E5C" w:rsidRPr="00CB0DCE" w:rsidRDefault="00A26E5C" w:rsidP="00DE68C6">
            <w:pPr>
              <w:rPr>
                <w:rFonts w:ascii="Arial" w:hAnsi="Arial" w:cs="Arial"/>
              </w:rPr>
            </w:pPr>
          </w:p>
        </w:tc>
        <w:tc>
          <w:tcPr>
            <w:tcW w:w="1866" w:type="dxa"/>
          </w:tcPr>
          <w:p w:rsidR="00A26E5C" w:rsidRPr="00CB0DCE" w:rsidRDefault="00A26E5C" w:rsidP="00DE68C6">
            <w:pPr>
              <w:rPr>
                <w:rFonts w:ascii="Arial" w:hAnsi="Arial" w:cs="Arial"/>
              </w:rPr>
            </w:pPr>
          </w:p>
        </w:tc>
        <w:tc>
          <w:tcPr>
            <w:tcW w:w="968" w:type="dxa"/>
          </w:tcPr>
          <w:p w:rsidR="00A26E5C" w:rsidRPr="00CB0DCE" w:rsidRDefault="00A26E5C" w:rsidP="00DE68C6">
            <w:pPr>
              <w:rPr>
                <w:rFonts w:ascii="Arial" w:hAnsi="Arial" w:cs="Arial"/>
                <w:b/>
              </w:rPr>
            </w:pPr>
          </w:p>
        </w:tc>
      </w:tr>
    </w:tbl>
    <w:tbl>
      <w:tblPr>
        <w:tblStyle w:val="TableGrid"/>
        <w:tblpPr w:leftFromText="180" w:rightFromText="180" w:vertAnchor="text" w:horzAnchor="margin" w:tblpXSpec="center" w:tblpY="-45"/>
        <w:tblOverlap w:val="never"/>
        <w:tblW w:w="10314" w:type="dxa"/>
        <w:tblLook w:val="04A0" w:firstRow="1" w:lastRow="0" w:firstColumn="1" w:lastColumn="0" w:noHBand="0" w:noVBand="1"/>
      </w:tblPr>
      <w:tblGrid>
        <w:gridCol w:w="1668"/>
        <w:gridCol w:w="1417"/>
        <w:gridCol w:w="1418"/>
        <w:gridCol w:w="1390"/>
        <w:gridCol w:w="1728"/>
        <w:gridCol w:w="1418"/>
        <w:gridCol w:w="1275"/>
      </w:tblGrid>
      <w:tr w:rsidR="00FB7DE9" w:rsidRPr="00CB0DCE" w:rsidTr="00FB7DE9">
        <w:tc>
          <w:tcPr>
            <w:tcW w:w="10314" w:type="dxa"/>
            <w:gridSpan w:val="7"/>
            <w:shd w:val="clear" w:color="auto" w:fill="DBE5F1" w:themeFill="accent1" w:themeFillTint="33"/>
          </w:tcPr>
          <w:p w:rsidR="00FB7DE9" w:rsidRPr="00CB0DCE" w:rsidRDefault="00FB7DE9" w:rsidP="00FB7DE9">
            <w:pPr>
              <w:ind w:left="-851" w:right="742"/>
              <w:jc w:val="center"/>
              <w:rPr>
                <w:rFonts w:ascii="Arial" w:hAnsi="Arial" w:cs="Arial"/>
                <w:b/>
              </w:rPr>
            </w:pPr>
            <w:r>
              <w:rPr>
                <w:rFonts w:ascii="Arial" w:hAnsi="Arial" w:cs="Arial"/>
                <w:b/>
              </w:rPr>
              <w:t>Da</w:t>
            </w:r>
            <w:r w:rsidRPr="00CB0DCE">
              <w:rPr>
                <w:rFonts w:ascii="Arial" w:hAnsi="Arial" w:cs="Arial"/>
                <w:b/>
              </w:rPr>
              <w:t xml:space="preserve">te the paper was presented to previous Committees </w:t>
            </w:r>
          </w:p>
          <w:p w:rsidR="00FB7DE9" w:rsidRPr="00CB0DCE" w:rsidRDefault="00FB7DE9" w:rsidP="00FB7DE9">
            <w:pPr>
              <w:jc w:val="center"/>
              <w:rPr>
                <w:rFonts w:ascii="Arial" w:hAnsi="Arial" w:cs="Arial"/>
                <w:b/>
              </w:rPr>
            </w:pPr>
          </w:p>
        </w:tc>
      </w:tr>
      <w:tr w:rsidR="00FB7DE9" w:rsidRPr="00CB0DCE" w:rsidTr="00FB7DE9">
        <w:tc>
          <w:tcPr>
            <w:tcW w:w="1668" w:type="dxa"/>
          </w:tcPr>
          <w:p w:rsidR="00FB7DE9" w:rsidRPr="00CB0DCE" w:rsidRDefault="00FB7DE9" w:rsidP="00FB7DE9">
            <w:pPr>
              <w:jc w:val="center"/>
              <w:rPr>
                <w:rFonts w:ascii="Arial" w:hAnsi="Arial" w:cs="Arial"/>
                <w:b/>
              </w:rPr>
            </w:pPr>
            <w:r w:rsidRPr="00CB0DCE">
              <w:rPr>
                <w:rFonts w:ascii="Arial" w:hAnsi="Arial" w:cs="Arial"/>
                <w:b/>
              </w:rPr>
              <w:t>Quality &amp; Performance Committee</w:t>
            </w:r>
          </w:p>
        </w:tc>
        <w:tc>
          <w:tcPr>
            <w:tcW w:w="1417" w:type="dxa"/>
          </w:tcPr>
          <w:p w:rsidR="00FB7DE9" w:rsidRPr="00CB0DCE" w:rsidRDefault="00FB7DE9" w:rsidP="00FB7DE9">
            <w:pPr>
              <w:jc w:val="center"/>
              <w:rPr>
                <w:rFonts w:ascii="Arial" w:hAnsi="Arial" w:cs="Arial"/>
                <w:b/>
              </w:rPr>
            </w:pPr>
            <w:r w:rsidRPr="00CB0DCE">
              <w:rPr>
                <w:rFonts w:ascii="Arial" w:hAnsi="Arial" w:cs="Arial"/>
                <w:b/>
              </w:rPr>
              <w:t>Finance Committee</w:t>
            </w:r>
          </w:p>
        </w:tc>
        <w:tc>
          <w:tcPr>
            <w:tcW w:w="1418" w:type="dxa"/>
          </w:tcPr>
          <w:p w:rsidR="00FB7DE9" w:rsidRPr="00CB0DCE" w:rsidRDefault="00FB7DE9" w:rsidP="00FB7DE9">
            <w:pPr>
              <w:jc w:val="center"/>
              <w:rPr>
                <w:rFonts w:ascii="Arial" w:hAnsi="Arial" w:cs="Arial"/>
                <w:b/>
              </w:rPr>
            </w:pPr>
            <w:r w:rsidRPr="00CB0DCE">
              <w:rPr>
                <w:rFonts w:ascii="Arial" w:hAnsi="Arial" w:cs="Arial"/>
                <w:b/>
              </w:rPr>
              <w:t>Audit &amp; Assurance Committee</w:t>
            </w:r>
          </w:p>
        </w:tc>
        <w:tc>
          <w:tcPr>
            <w:tcW w:w="1390" w:type="dxa"/>
          </w:tcPr>
          <w:p w:rsidR="00FB7DE9" w:rsidRPr="00CB0DCE" w:rsidRDefault="00FB7DE9" w:rsidP="00FB7DE9">
            <w:pPr>
              <w:jc w:val="center"/>
              <w:rPr>
                <w:rFonts w:ascii="Arial" w:hAnsi="Arial" w:cs="Arial"/>
                <w:b/>
              </w:rPr>
            </w:pPr>
            <w:r w:rsidRPr="00CB0DCE">
              <w:rPr>
                <w:rFonts w:ascii="Arial" w:hAnsi="Arial" w:cs="Arial"/>
                <w:b/>
              </w:rPr>
              <w:t>People and OD Committee</w:t>
            </w:r>
          </w:p>
        </w:tc>
        <w:tc>
          <w:tcPr>
            <w:tcW w:w="1728" w:type="dxa"/>
          </w:tcPr>
          <w:p w:rsidR="00FB7DE9" w:rsidRPr="00CB0DCE" w:rsidRDefault="00FB7DE9" w:rsidP="00FB7DE9">
            <w:pPr>
              <w:jc w:val="center"/>
              <w:rPr>
                <w:rFonts w:ascii="Arial" w:hAnsi="Arial" w:cs="Arial"/>
                <w:b/>
              </w:rPr>
            </w:pPr>
            <w:r w:rsidRPr="00CB0DCE">
              <w:rPr>
                <w:rFonts w:ascii="Arial" w:hAnsi="Arial" w:cs="Arial"/>
                <w:b/>
              </w:rPr>
              <w:t>Remuneration Committee</w:t>
            </w:r>
          </w:p>
        </w:tc>
        <w:tc>
          <w:tcPr>
            <w:tcW w:w="1418" w:type="dxa"/>
          </w:tcPr>
          <w:p w:rsidR="00FB7DE9" w:rsidRPr="00CB0DCE" w:rsidRDefault="00FB7DE9" w:rsidP="00FB7DE9">
            <w:pPr>
              <w:jc w:val="center"/>
              <w:rPr>
                <w:rFonts w:ascii="Arial" w:hAnsi="Arial" w:cs="Arial"/>
                <w:b/>
              </w:rPr>
            </w:pPr>
            <w:r w:rsidRPr="00CB0DCE">
              <w:rPr>
                <w:rFonts w:ascii="Arial" w:hAnsi="Arial" w:cs="Arial"/>
                <w:b/>
              </w:rPr>
              <w:t>Trust Leadership Team</w:t>
            </w:r>
          </w:p>
        </w:tc>
        <w:tc>
          <w:tcPr>
            <w:tcW w:w="1275" w:type="dxa"/>
          </w:tcPr>
          <w:p w:rsidR="00FB7DE9" w:rsidRPr="00CB0DCE" w:rsidRDefault="00FB7DE9" w:rsidP="00FB7DE9">
            <w:pPr>
              <w:jc w:val="center"/>
              <w:rPr>
                <w:rFonts w:ascii="Arial" w:hAnsi="Arial" w:cs="Arial"/>
                <w:b/>
              </w:rPr>
            </w:pPr>
            <w:r w:rsidRPr="00CB0DCE">
              <w:rPr>
                <w:rFonts w:ascii="Arial" w:hAnsi="Arial" w:cs="Arial"/>
                <w:b/>
              </w:rPr>
              <w:t>Other (specify)</w:t>
            </w:r>
          </w:p>
        </w:tc>
      </w:tr>
      <w:tr w:rsidR="00FB7DE9" w:rsidRPr="00CB0DCE" w:rsidTr="00FB7DE9">
        <w:tc>
          <w:tcPr>
            <w:tcW w:w="1668" w:type="dxa"/>
          </w:tcPr>
          <w:p w:rsidR="00FB7DE9" w:rsidRPr="00CB0DCE" w:rsidRDefault="00FB7DE9" w:rsidP="00FB7DE9">
            <w:pPr>
              <w:jc w:val="center"/>
              <w:rPr>
                <w:rFonts w:ascii="Arial" w:hAnsi="Arial" w:cs="Arial"/>
              </w:rPr>
            </w:pPr>
            <w:r w:rsidRPr="00CB0DCE">
              <w:rPr>
                <w:rFonts w:ascii="Arial" w:hAnsi="Arial" w:cs="Arial"/>
              </w:rPr>
              <w:t>n/a</w:t>
            </w:r>
          </w:p>
        </w:tc>
        <w:tc>
          <w:tcPr>
            <w:tcW w:w="1417" w:type="dxa"/>
          </w:tcPr>
          <w:p w:rsidR="00FB7DE9" w:rsidRPr="00CB0DCE" w:rsidRDefault="00FB7DE9" w:rsidP="00FB7DE9">
            <w:pPr>
              <w:rPr>
                <w:rFonts w:ascii="Arial" w:hAnsi="Arial" w:cs="Arial"/>
              </w:rPr>
            </w:pPr>
            <w:r w:rsidRPr="00CB0DCE">
              <w:rPr>
                <w:rFonts w:ascii="Arial" w:hAnsi="Arial" w:cs="Arial"/>
              </w:rPr>
              <w:t>n/a</w:t>
            </w:r>
          </w:p>
        </w:tc>
        <w:tc>
          <w:tcPr>
            <w:tcW w:w="1418" w:type="dxa"/>
          </w:tcPr>
          <w:p w:rsidR="00FB7DE9" w:rsidRPr="00CB0DCE" w:rsidRDefault="00FB7DE9" w:rsidP="00FB7DE9">
            <w:pPr>
              <w:rPr>
                <w:rFonts w:ascii="Arial" w:hAnsi="Arial" w:cs="Arial"/>
              </w:rPr>
            </w:pPr>
            <w:r>
              <w:rPr>
                <w:rFonts w:ascii="Arial" w:hAnsi="Arial" w:cs="Arial"/>
              </w:rPr>
              <w:t>n/a</w:t>
            </w:r>
          </w:p>
        </w:tc>
        <w:tc>
          <w:tcPr>
            <w:tcW w:w="1390" w:type="dxa"/>
          </w:tcPr>
          <w:p w:rsidR="00FB7DE9" w:rsidRPr="00CB0DCE" w:rsidRDefault="00FB7DE9" w:rsidP="00FB7DE9">
            <w:pPr>
              <w:rPr>
                <w:rFonts w:ascii="Arial" w:hAnsi="Arial" w:cs="Arial"/>
              </w:rPr>
            </w:pPr>
            <w:r w:rsidRPr="00CB0DCE">
              <w:rPr>
                <w:rFonts w:ascii="Arial" w:hAnsi="Arial" w:cs="Arial"/>
              </w:rPr>
              <w:t>n/a</w:t>
            </w:r>
          </w:p>
        </w:tc>
        <w:tc>
          <w:tcPr>
            <w:tcW w:w="1728" w:type="dxa"/>
          </w:tcPr>
          <w:p w:rsidR="00FB7DE9" w:rsidRPr="00CB0DCE" w:rsidRDefault="00FB7DE9" w:rsidP="00FB7DE9">
            <w:pPr>
              <w:rPr>
                <w:rFonts w:ascii="Arial" w:hAnsi="Arial" w:cs="Arial"/>
              </w:rPr>
            </w:pPr>
            <w:r w:rsidRPr="00CB0DCE">
              <w:rPr>
                <w:rFonts w:ascii="Arial" w:hAnsi="Arial" w:cs="Arial"/>
              </w:rPr>
              <w:t>n/a</w:t>
            </w:r>
          </w:p>
        </w:tc>
        <w:tc>
          <w:tcPr>
            <w:tcW w:w="1418" w:type="dxa"/>
          </w:tcPr>
          <w:p w:rsidR="00FB7DE9" w:rsidRPr="00CB0DCE" w:rsidRDefault="00FB7DE9" w:rsidP="00FB7DE9">
            <w:pPr>
              <w:rPr>
                <w:rFonts w:ascii="Arial" w:hAnsi="Arial" w:cs="Arial"/>
              </w:rPr>
            </w:pPr>
            <w:r>
              <w:rPr>
                <w:rFonts w:ascii="Arial" w:hAnsi="Arial" w:cs="Arial"/>
              </w:rPr>
              <w:t>n/a</w:t>
            </w:r>
          </w:p>
        </w:tc>
        <w:tc>
          <w:tcPr>
            <w:tcW w:w="1275" w:type="dxa"/>
          </w:tcPr>
          <w:p w:rsidR="00FB7DE9" w:rsidRPr="00CB0DCE" w:rsidRDefault="00FB7DE9" w:rsidP="00FB7DE9">
            <w:pPr>
              <w:rPr>
                <w:rFonts w:ascii="Arial" w:hAnsi="Arial" w:cs="Arial"/>
              </w:rPr>
            </w:pPr>
            <w:r>
              <w:rPr>
                <w:rFonts w:ascii="Arial" w:hAnsi="Arial" w:cs="Arial"/>
              </w:rPr>
              <w:t>n/a</w:t>
            </w:r>
          </w:p>
        </w:tc>
      </w:tr>
      <w:tr w:rsidR="00FB7DE9" w:rsidRPr="00CB0DCE" w:rsidTr="00FB7DE9">
        <w:tc>
          <w:tcPr>
            <w:tcW w:w="10314" w:type="dxa"/>
            <w:gridSpan w:val="7"/>
            <w:shd w:val="clear" w:color="auto" w:fill="DBE5F1" w:themeFill="accent1" w:themeFillTint="33"/>
          </w:tcPr>
          <w:p w:rsidR="00FB7DE9" w:rsidRPr="00CB0DCE" w:rsidRDefault="00FB7DE9" w:rsidP="00FB7DE9">
            <w:pPr>
              <w:jc w:val="center"/>
              <w:rPr>
                <w:rFonts w:ascii="Arial" w:hAnsi="Arial" w:cs="Arial"/>
                <w:b/>
              </w:rPr>
            </w:pPr>
            <w:r w:rsidRPr="00CB0DCE">
              <w:rPr>
                <w:rFonts w:ascii="Arial" w:hAnsi="Arial" w:cs="Arial"/>
                <w:b/>
              </w:rPr>
              <w:t xml:space="preserve">Outcome of discussion when presented to previous Committees </w:t>
            </w:r>
          </w:p>
          <w:p w:rsidR="00FB7DE9" w:rsidRPr="00CB0DCE" w:rsidRDefault="00FB7DE9" w:rsidP="00FB7DE9">
            <w:pPr>
              <w:jc w:val="center"/>
              <w:rPr>
                <w:rFonts w:ascii="Arial" w:hAnsi="Arial" w:cs="Arial"/>
                <w:b/>
              </w:rPr>
            </w:pPr>
          </w:p>
        </w:tc>
      </w:tr>
      <w:tr w:rsidR="00FB7DE9" w:rsidRPr="00CB0DCE" w:rsidTr="00FB7DE9">
        <w:tc>
          <w:tcPr>
            <w:tcW w:w="10314" w:type="dxa"/>
            <w:gridSpan w:val="7"/>
          </w:tcPr>
          <w:p w:rsidR="00FB7DE9" w:rsidRDefault="00FB7DE9" w:rsidP="00FB7DE9">
            <w:pPr>
              <w:rPr>
                <w:rFonts w:ascii="Arial" w:hAnsi="Arial" w:cs="Arial"/>
              </w:rPr>
            </w:pPr>
            <w:r>
              <w:rPr>
                <w:rFonts w:ascii="Arial" w:hAnsi="Arial" w:cs="Arial"/>
              </w:rPr>
              <w:t>Due for presentation to People and OD Delivery Group (for information) March 2021</w:t>
            </w:r>
          </w:p>
          <w:p w:rsidR="00FB7DE9" w:rsidRPr="00CB0DCE" w:rsidRDefault="00FB7DE9" w:rsidP="00FB7DE9">
            <w:pPr>
              <w:rPr>
                <w:rFonts w:ascii="Arial" w:hAnsi="Arial" w:cs="Arial"/>
              </w:rPr>
            </w:pPr>
          </w:p>
        </w:tc>
      </w:tr>
    </w:tbl>
    <w:p w:rsidR="009123A0" w:rsidRPr="00CB0DCE" w:rsidRDefault="009123A0" w:rsidP="009123A0">
      <w:pPr>
        <w:spacing w:after="0" w:line="240" w:lineRule="auto"/>
        <w:rPr>
          <w:rFonts w:ascii="Arial" w:hAnsi="Arial" w:cs="Arial"/>
        </w:rPr>
      </w:pPr>
    </w:p>
    <w:p w:rsidR="009123A0" w:rsidRPr="00A0372F" w:rsidRDefault="009123A0" w:rsidP="009123A0">
      <w:pPr>
        <w:spacing w:after="0" w:line="240" w:lineRule="auto"/>
        <w:rPr>
          <w:rFonts w:ascii="Times New Roman" w:hAnsi="Times New Roman" w:cs="Times New Roman"/>
          <w:sz w:val="24"/>
          <w:szCs w:val="24"/>
        </w:rPr>
      </w:pPr>
    </w:p>
    <w:p w:rsidR="00F015B2" w:rsidRDefault="00F015B2" w:rsidP="00A26E5C">
      <w:pPr>
        <w:jc w:val="center"/>
        <w:rPr>
          <w:rFonts w:ascii="Arial" w:hAnsi="Arial" w:cs="Arial"/>
          <w:b/>
        </w:rPr>
      </w:pPr>
    </w:p>
    <w:p w:rsidR="00F015B2" w:rsidRDefault="00F015B2" w:rsidP="00A26E5C">
      <w:pPr>
        <w:jc w:val="center"/>
        <w:rPr>
          <w:rFonts w:ascii="Arial" w:hAnsi="Arial" w:cs="Arial"/>
          <w:b/>
        </w:rPr>
      </w:pPr>
    </w:p>
    <w:p w:rsidR="00F015B2" w:rsidRDefault="00F015B2" w:rsidP="00A26E5C">
      <w:pPr>
        <w:jc w:val="center"/>
        <w:rPr>
          <w:rFonts w:ascii="Arial" w:hAnsi="Arial" w:cs="Arial"/>
          <w:b/>
        </w:rPr>
      </w:pPr>
    </w:p>
    <w:p w:rsidR="00F015B2" w:rsidRDefault="00F015B2" w:rsidP="00A26E5C">
      <w:pPr>
        <w:jc w:val="center"/>
        <w:rPr>
          <w:rFonts w:ascii="Arial" w:hAnsi="Arial" w:cs="Arial"/>
          <w:b/>
        </w:rPr>
      </w:pPr>
    </w:p>
    <w:p w:rsidR="00F015B2" w:rsidRDefault="00F015B2" w:rsidP="00A26E5C">
      <w:pPr>
        <w:jc w:val="center"/>
        <w:rPr>
          <w:rFonts w:ascii="Arial" w:hAnsi="Arial" w:cs="Arial"/>
          <w:b/>
        </w:rPr>
      </w:pPr>
    </w:p>
    <w:p w:rsidR="00F015B2" w:rsidRDefault="00F015B2" w:rsidP="00A26E5C">
      <w:pPr>
        <w:jc w:val="center"/>
        <w:rPr>
          <w:rFonts w:ascii="Arial" w:hAnsi="Arial" w:cs="Arial"/>
          <w:b/>
        </w:rPr>
      </w:pPr>
    </w:p>
    <w:p w:rsidR="00F015B2" w:rsidRDefault="00F015B2" w:rsidP="00A26E5C">
      <w:pPr>
        <w:jc w:val="center"/>
        <w:rPr>
          <w:rFonts w:ascii="Arial" w:hAnsi="Arial" w:cs="Arial"/>
          <w:b/>
        </w:rPr>
      </w:pPr>
    </w:p>
    <w:p w:rsidR="00F015B2" w:rsidRDefault="00F015B2" w:rsidP="00A26E5C">
      <w:pPr>
        <w:jc w:val="center"/>
        <w:rPr>
          <w:rFonts w:ascii="Arial" w:hAnsi="Arial" w:cs="Arial"/>
          <w:b/>
        </w:rPr>
      </w:pPr>
    </w:p>
    <w:p w:rsidR="00F015B2" w:rsidRDefault="00F015B2" w:rsidP="00A26E5C">
      <w:pPr>
        <w:jc w:val="center"/>
        <w:rPr>
          <w:rFonts w:ascii="Arial" w:hAnsi="Arial" w:cs="Arial"/>
          <w:b/>
        </w:rPr>
      </w:pPr>
    </w:p>
    <w:p w:rsidR="00F015B2" w:rsidRDefault="00F015B2" w:rsidP="00A26E5C">
      <w:pPr>
        <w:jc w:val="center"/>
        <w:rPr>
          <w:rFonts w:ascii="Arial" w:hAnsi="Arial" w:cs="Arial"/>
          <w:b/>
        </w:rPr>
      </w:pPr>
    </w:p>
    <w:p w:rsidR="00F015B2" w:rsidRDefault="00F015B2" w:rsidP="00A26E5C">
      <w:pPr>
        <w:jc w:val="center"/>
        <w:rPr>
          <w:rFonts w:ascii="Arial" w:hAnsi="Arial" w:cs="Arial"/>
          <w:b/>
        </w:rPr>
      </w:pPr>
    </w:p>
    <w:p w:rsidR="008C5FC4" w:rsidRPr="009123A0" w:rsidRDefault="008C5FC4" w:rsidP="00A26E5C">
      <w:pPr>
        <w:jc w:val="center"/>
        <w:rPr>
          <w:rFonts w:ascii="Arial" w:hAnsi="Arial" w:cs="Arial"/>
          <w:b/>
        </w:rPr>
      </w:pPr>
      <w:r w:rsidRPr="009123A0">
        <w:rPr>
          <w:rFonts w:ascii="Arial" w:hAnsi="Arial" w:cs="Arial"/>
          <w:b/>
        </w:rPr>
        <w:lastRenderedPageBreak/>
        <w:t>GENDER PAY GAP REPORT</w:t>
      </w:r>
    </w:p>
    <w:p w:rsidR="008C5FC4" w:rsidRPr="00FB7DE9" w:rsidRDefault="00F1103C" w:rsidP="00BE61C7">
      <w:pPr>
        <w:jc w:val="center"/>
        <w:rPr>
          <w:rFonts w:ascii="Arial" w:hAnsi="Arial" w:cs="Arial"/>
          <w:b/>
        </w:rPr>
      </w:pPr>
      <w:r w:rsidRPr="00FB7DE9">
        <w:rPr>
          <w:rFonts w:ascii="Arial" w:hAnsi="Arial" w:cs="Arial"/>
          <w:b/>
        </w:rPr>
        <w:t>February</w:t>
      </w:r>
      <w:r w:rsidR="00E6603D" w:rsidRPr="00FB7DE9">
        <w:rPr>
          <w:rFonts w:ascii="Arial" w:hAnsi="Arial" w:cs="Arial"/>
          <w:b/>
        </w:rPr>
        <w:t xml:space="preserve"> 2021</w:t>
      </w:r>
    </w:p>
    <w:p w:rsidR="008C5FC4" w:rsidRPr="009123A0" w:rsidRDefault="008C5FC4" w:rsidP="00BE61C7">
      <w:pPr>
        <w:jc w:val="center"/>
        <w:rPr>
          <w:rFonts w:ascii="Arial" w:hAnsi="Arial" w:cs="Arial"/>
        </w:rPr>
      </w:pPr>
      <w:r w:rsidRPr="009123A0">
        <w:rPr>
          <w:rFonts w:ascii="Arial" w:hAnsi="Arial" w:cs="Arial"/>
        </w:rPr>
        <w:t>Da</w:t>
      </w:r>
      <w:r w:rsidR="00E6603D" w:rsidRPr="009123A0">
        <w:rPr>
          <w:rFonts w:ascii="Arial" w:hAnsi="Arial" w:cs="Arial"/>
        </w:rPr>
        <w:t xml:space="preserve">ta </w:t>
      </w:r>
      <w:r w:rsidR="00FB7DE9">
        <w:rPr>
          <w:rFonts w:ascii="Arial" w:hAnsi="Arial" w:cs="Arial"/>
        </w:rPr>
        <w:t>reported</w:t>
      </w:r>
      <w:r w:rsidR="00E6603D" w:rsidRPr="009123A0">
        <w:rPr>
          <w:rFonts w:ascii="Arial" w:hAnsi="Arial" w:cs="Arial"/>
        </w:rPr>
        <w:t xml:space="preserve"> as at 31 March 2020</w:t>
      </w:r>
      <w:r w:rsidRPr="009123A0">
        <w:rPr>
          <w:rFonts w:ascii="Arial" w:hAnsi="Arial" w:cs="Arial"/>
        </w:rPr>
        <w:t>, unless otherwise indicated</w:t>
      </w:r>
    </w:p>
    <w:p w:rsidR="00284B39" w:rsidRPr="009123A0" w:rsidRDefault="00284B39" w:rsidP="00BE61C7">
      <w:pPr>
        <w:rPr>
          <w:rFonts w:ascii="Arial" w:hAnsi="Arial" w:cs="Arial"/>
          <w:b/>
        </w:rPr>
      </w:pPr>
    </w:p>
    <w:p w:rsidR="008C5FC4" w:rsidRPr="009123A0" w:rsidRDefault="009C2125" w:rsidP="00BE61C7">
      <w:pPr>
        <w:rPr>
          <w:rFonts w:ascii="Arial" w:hAnsi="Arial" w:cs="Arial"/>
          <w:b/>
        </w:rPr>
      </w:pPr>
      <w:r w:rsidRPr="009123A0">
        <w:rPr>
          <w:rFonts w:ascii="Arial" w:hAnsi="Arial" w:cs="Arial"/>
          <w:b/>
        </w:rPr>
        <w:t xml:space="preserve">1. Summary </w:t>
      </w:r>
    </w:p>
    <w:p w:rsidR="008C5FC4" w:rsidRPr="009123A0" w:rsidRDefault="008C5FC4" w:rsidP="00BE61C7">
      <w:pPr>
        <w:rPr>
          <w:rFonts w:ascii="Arial" w:hAnsi="Arial" w:cs="Arial"/>
          <w:color w:val="0070C0"/>
        </w:rPr>
      </w:pPr>
      <w:r w:rsidRPr="009123A0">
        <w:rPr>
          <w:rFonts w:ascii="Arial" w:hAnsi="Arial" w:cs="Arial"/>
        </w:rPr>
        <w:t xml:space="preserve">This is the </w:t>
      </w:r>
      <w:r w:rsidR="00A7118F" w:rsidRPr="009123A0">
        <w:rPr>
          <w:rFonts w:ascii="Arial" w:hAnsi="Arial" w:cs="Arial"/>
        </w:rPr>
        <w:t>fourth</w:t>
      </w:r>
      <w:r w:rsidRPr="009123A0">
        <w:rPr>
          <w:rFonts w:ascii="Arial" w:hAnsi="Arial" w:cs="Arial"/>
        </w:rPr>
        <w:t xml:space="preserve"> Gender Pay Gap Report from </w:t>
      </w:r>
      <w:r w:rsidR="00284B39" w:rsidRPr="009123A0">
        <w:rPr>
          <w:rFonts w:ascii="Arial" w:hAnsi="Arial" w:cs="Arial"/>
        </w:rPr>
        <w:t xml:space="preserve">Gloucestershire Hospitals </w:t>
      </w:r>
      <w:r w:rsidRPr="009123A0">
        <w:rPr>
          <w:rFonts w:ascii="Arial" w:hAnsi="Arial" w:cs="Arial"/>
        </w:rPr>
        <w:t>NHS Foundation Trust (</w:t>
      </w:r>
      <w:r w:rsidR="00A7118F" w:rsidRPr="009123A0">
        <w:rPr>
          <w:rFonts w:ascii="Arial" w:hAnsi="Arial" w:cs="Arial"/>
        </w:rPr>
        <w:t>‘GH</w:t>
      </w:r>
      <w:r w:rsidR="00284B39" w:rsidRPr="009123A0">
        <w:rPr>
          <w:rFonts w:ascii="Arial" w:hAnsi="Arial" w:cs="Arial"/>
        </w:rPr>
        <w:t>FT’) which, as at 31 March 20</w:t>
      </w:r>
      <w:r w:rsidR="00F1103C" w:rsidRPr="009123A0">
        <w:rPr>
          <w:rFonts w:ascii="Arial" w:hAnsi="Arial" w:cs="Arial"/>
        </w:rPr>
        <w:t>20</w:t>
      </w:r>
      <w:r w:rsidR="00BE61C7" w:rsidRPr="009123A0">
        <w:rPr>
          <w:rFonts w:ascii="Arial" w:hAnsi="Arial" w:cs="Arial"/>
        </w:rPr>
        <w:t xml:space="preserve"> had </w:t>
      </w:r>
      <w:r w:rsidR="006742D0" w:rsidRPr="009123A0">
        <w:rPr>
          <w:rFonts w:ascii="Arial" w:hAnsi="Arial" w:cs="Arial"/>
        </w:rPr>
        <w:t>7939</w:t>
      </w:r>
      <w:r w:rsidR="00F1103C" w:rsidRPr="009123A0">
        <w:rPr>
          <w:rFonts w:ascii="Arial" w:hAnsi="Arial" w:cs="Arial"/>
        </w:rPr>
        <w:t xml:space="preserve"> staff, 80.</w:t>
      </w:r>
      <w:r w:rsidR="006742D0" w:rsidRPr="009123A0">
        <w:rPr>
          <w:rFonts w:ascii="Arial" w:hAnsi="Arial" w:cs="Arial"/>
        </w:rPr>
        <w:t>5</w:t>
      </w:r>
      <w:r w:rsidRPr="009123A0">
        <w:rPr>
          <w:rFonts w:ascii="Arial" w:hAnsi="Arial" w:cs="Arial"/>
        </w:rPr>
        <w:t xml:space="preserve">% of whom were female. </w:t>
      </w:r>
    </w:p>
    <w:p w:rsidR="008C5FC4" w:rsidRPr="009123A0" w:rsidRDefault="008C5FC4" w:rsidP="00BE61C7">
      <w:pPr>
        <w:rPr>
          <w:rFonts w:ascii="Arial" w:hAnsi="Arial" w:cs="Arial"/>
        </w:rPr>
      </w:pPr>
      <w:r w:rsidRPr="009123A0">
        <w:rPr>
          <w:rFonts w:ascii="Arial" w:hAnsi="Arial" w:cs="Arial"/>
        </w:rPr>
        <w:t xml:space="preserve">The analysis </w:t>
      </w:r>
      <w:r w:rsidR="006742D0" w:rsidRPr="009123A0">
        <w:rPr>
          <w:rFonts w:ascii="Arial" w:hAnsi="Arial" w:cs="Arial"/>
        </w:rPr>
        <w:t>used</w:t>
      </w:r>
      <w:r w:rsidRPr="009123A0">
        <w:rPr>
          <w:rFonts w:ascii="Arial" w:hAnsi="Arial" w:cs="Arial"/>
        </w:rPr>
        <w:t xml:space="preserve"> to prepare this Report identifies a ‘mean’ and a ‘median’ gender pay gap </w:t>
      </w:r>
    </w:p>
    <w:p w:rsidR="008C5FC4" w:rsidRPr="00A26E5C" w:rsidRDefault="008C5FC4" w:rsidP="00BE61C7">
      <w:pPr>
        <w:rPr>
          <w:rFonts w:ascii="Arial" w:hAnsi="Arial" w:cs="Arial"/>
          <w:b/>
        </w:rPr>
      </w:pPr>
      <w:r w:rsidRPr="00A26E5C">
        <w:rPr>
          <w:rFonts w:ascii="Arial" w:hAnsi="Arial" w:cs="Arial"/>
          <w:b/>
        </w:rPr>
        <w:t xml:space="preserve">The measured position on the gender pay gap </w:t>
      </w:r>
      <w:r w:rsidR="00946FF2" w:rsidRPr="00A26E5C">
        <w:rPr>
          <w:rFonts w:ascii="Arial" w:hAnsi="Arial" w:cs="Arial"/>
          <w:b/>
        </w:rPr>
        <w:t>at 31 March 20</w:t>
      </w:r>
      <w:r w:rsidR="00F1103C" w:rsidRPr="00A26E5C">
        <w:rPr>
          <w:rFonts w:ascii="Arial" w:hAnsi="Arial" w:cs="Arial"/>
          <w:b/>
        </w:rPr>
        <w:t>20</w:t>
      </w:r>
      <w:r w:rsidRPr="00A26E5C">
        <w:rPr>
          <w:rFonts w:ascii="Arial" w:hAnsi="Arial" w:cs="Arial"/>
          <w:b/>
        </w:rPr>
        <w:t xml:space="preserve"> is as follows:- </w:t>
      </w:r>
    </w:p>
    <w:p w:rsidR="008C5FC4" w:rsidRPr="00A26E5C" w:rsidRDefault="008C5FC4" w:rsidP="00BE61C7">
      <w:pPr>
        <w:pStyle w:val="ListParagraph"/>
        <w:numPr>
          <w:ilvl w:val="0"/>
          <w:numId w:val="4"/>
        </w:numPr>
        <w:jc w:val="both"/>
        <w:rPr>
          <w:rFonts w:ascii="Arial" w:hAnsi="Arial" w:cs="Arial"/>
          <w:b/>
        </w:rPr>
      </w:pPr>
      <w:r w:rsidRPr="00A26E5C">
        <w:rPr>
          <w:rFonts w:ascii="Arial" w:hAnsi="Arial" w:cs="Arial"/>
          <w:b/>
        </w:rPr>
        <w:t xml:space="preserve">Median gender pay gap, </w:t>
      </w:r>
      <w:r w:rsidR="00F1103C" w:rsidRPr="00A26E5C">
        <w:rPr>
          <w:rFonts w:ascii="Arial" w:hAnsi="Arial" w:cs="Arial"/>
          <w:b/>
        </w:rPr>
        <w:t>19.8</w:t>
      </w:r>
      <w:r w:rsidRPr="00A26E5C">
        <w:rPr>
          <w:rFonts w:ascii="Arial" w:hAnsi="Arial" w:cs="Arial"/>
          <w:b/>
        </w:rPr>
        <w:t xml:space="preserve">% in favour of male employees </w:t>
      </w:r>
      <w:r w:rsidR="00507991" w:rsidRPr="00A26E5C">
        <w:rPr>
          <w:rFonts w:ascii="Arial" w:hAnsi="Arial" w:cs="Arial"/>
          <w:b/>
        </w:rPr>
        <w:t>(20.3% in 2019)</w:t>
      </w:r>
    </w:p>
    <w:p w:rsidR="008C5FC4" w:rsidRPr="00A26E5C" w:rsidRDefault="00946FF2" w:rsidP="00BE61C7">
      <w:pPr>
        <w:pStyle w:val="ListParagraph"/>
        <w:numPr>
          <w:ilvl w:val="0"/>
          <w:numId w:val="4"/>
        </w:numPr>
        <w:jc w:val="both"/>
        <w:rPr>
          <w:rFonts w:ascii="Arial" w:hAnsi="Arial" w:cs="Arial"/>
          <w:b/>
        </w:rPr>
      </w:pPr>
      <w:r w:rsidRPr="00A26E5C">
        <w:rPr>
          <w:rFonts w:ascii="Arial" w:hAnsi="Arial" w:cs="Arial"/>
          <w:b/>
        </w:rPr>
        <w:t xml:space="preserve">Mean gender pay gap, </w:t>
      </w:r>
      <w:r w:rsidR="00507991" w:rsidRPr="00A26E5C">
        <w:rPr>
          <w:rFonts w:ascii="Arial" w:hAnsi="Arial" w:cs="Arial"/>
          <w:b/>
        </w:rPr>
        <w:t>28.6</w:t>
      </w:r>
      <w:r w:rsidR="008C5FC4" w:rsidRPr="00A26E5C">
        <w:rPr>
          <w:rFonts w:ascii="Arial" w:hAnsi="Arial" w:cs="Arial"/>
          <w:b/>
        </w:rPr>
        <w:t xml:space="preserve">% in favour of male employees </w:t>
      </w:r>
      <w:r w:rsidR="00507991" w:rsidRPr="00A26E5C">
        <w:rPr>
          <w:rFonts w:ascii="Arial" w:hAnsi="Arial" w:cs="Arial"/>
          <w:b/>
        </w:rPr>
        <w:t>(29.4% in 2019)</w:t>
      </w:r>
    </w:p>
    <w:p w:rsidR="00B10726" w:rsidRPr="009123A0" w:rsidRDefault="008C5FC4" w:rsidP="00BE61C7">
      <w:pPr>
        <w:rPr>
          <w:rFonts w:ascii="Arial" w:hAnsi="Arial" w:cs="Arial"/>
        </w:rPr>
      </w:pPr>
      <w:r w:rsidRPr="009123A0">
        <w:rPr>
          <w:rFonts w:ascii="Arial" w:hAnsi="Arial" w:cs="Arial"/>
        </w:rPr>
        <w:t xml:space="preserve">It is critical to emphasise this does not mean that a male and a female staff member doing equal work receive different levels of pay. Rather, the above statistics are driven largely by (i) </w:t>
      </w:r>
      <w:r w:rsidR="00B10726" w:rsidRPr="009123A0">
        <w:rPr>
          <w:rFonts w:ascii="Arial" w:hAnsi="Arial" w:cs="Arial"/>
        </w:rPr>
        <w:t xml:space="preserve">the pay of the medical workforce which has an amplified effect on statistics relating to the total workforce and (ii) </w:t>
      </w:r>
      <w:r w:rsidRPr="009123A0">
        <w:rPr>
          <w:rFonts w:ascii="Arial" w:hAnsi="Arial" w:cs="Arial"/>
        </w:rPr>
        <w:t>the distribution of males and females within different parts of the workforce</w:t>
      </w:r>
      <w:r w:rsidR="00B10726" w:rsidRPr="009123A0">
        <w:rPr>
          <w:rFonts w:ascii="Arial" w:hAnsi="Arial" w:cs="Arial"/>
        </w:rPr>
        <w:t>.</w:t>
      </w:r>
    </w:p>
    <w:p w:rsidR="008C5FC4" w:rsidRPr="009123A0" w:rsidRDefault="006C09EF" w:rsidP="00BE61C7">
      <w:pPr>
        <w:rPr>
          <w:rFonts w:ascii="Arial" w:hAnsi="Arial" w:cs="Arial"/>
        </w:rPr>
      </w:pPr>
      <w:r w:rsidRPr="009123A0">
        <w:rPr>
          <w:rFonts w:ascii="Arial" w:hAnsi="Arial" w:cs="Arial"/>
        </w:rPr>
        <w:t>The dominant theme is that</w:t>
      </w:r>
      <w:r w:rsidR="008C5FC4" w:rsidRPr="009123A0">
        <w:rPr>
          <w:rFonts w:ascii="Arial" w:hAnsi="Arial" w:cs="Arial"/>
        </w:rPr>
        <w:t xml:space="preserve"> if the medical workforce is excluded, the </w:t>
      </w:r>
      <w:r w:rsidR="00946FF2" w:rsidRPr="009123A0">
        <w:rPr>
          <w:rFonts w:ascii="Arial" w:hAnsi="Arial" w:cs="Arial"/>
        </w:rPr>
        <w:t xml:space="preserve">median </w:t>
      </w:r>
      <w:r w:rsidR="008C5FC4" w:rsidRPr="009123A0">
        <w:rPr>
          <w:rFonts w:ascii="Arial" w:hAnsi="Arial" w:cs="Arial"/>
        </w:rPr>
        <w:t xml:space="preserve">gender pay gap is reversed and becomes one which </w:t>
      </w:r>
      <w:r w:rsidR="00946FF2" w:rsidRPr="009123A0">
        <w:rPr>
          <w:rFonts w:ascii="Arial" w:hAnsi="Arial" w:cs="Arial"/>
        </w:rPr>
        <w:t xml:space="preserve">slightly </w:t>
      </w:r>
      <w:r w:rsidR="008C5FC4" w:rsidRPr="009123A0">
        <w:rPr>
          <w:rFonts w:ascii="Arial" w:hAnsi="Arial" w:cs="Arial"/>
        </w:rPr>
        <w:t>favours female staff. In fact analysing pay across all staff except medical staff creat</w:t>
      </w:r>
      <w:r w:rsidR="00946FF2" w:rsidRPr="009123A0">
        <w:rPr>
          <w:rFonts w:ascii="Arial" w:hAnsi="Arial" w:cs="Arial"/>
        </w:rPr>
        <w:t xml:space="preserve">es a mean gender pay gap of </w:t>
      </w:r>
      <w:r w:rsidRPr="009123A0">
        <w:rPr>
          <w:rFonts w:ascii="Arial" w:hAnsi="Arial" w:cs="Arial"/>
        </w:rPr>
        <w:t>3.9</w:t>
      </w:r>
      <w:r w:rsidR="00946FF2" w:rsidRPr="009123A0">
        <w:rPr>
          <w:rFonts w:ascii="Arial" w:hAnsi="Arial" w:cs="Arial"/>
        </w:rPr>
        <w:t xml:space="preserve">% in favour of males, but a median gap </w:t>
      </w:r>
      <w:r w:rsidRPr="009123A0">
        <w:rPr>
          <w:rFonts w:ascii="Arial" w:hAnsi="Arial" w:cs="Arial"/>
        </w:rPr>
        <w:t>4</w:t>
      </w:r>
      <w:r w:rsidR="008C5FC4" w:rsidRPr="009123A0">
        <w:rPr>
          <w:rFonts w:ascii="Arial" w:hAnsi="Arial" w:cs="Arial"/>
        </w:rPr>
        <w:t xml:space="preserve">% in favour of females. The clear implication is that the gender pay gap across the medical workforce is sufficient to reverse the female positive gender pay gap across the remainder of the Trust’s workforce, and generate the overall results set out in the bullet points above. </w:t>
      </w:r>
    </w:p>
    <w:p w:rsidR="009123A0" w:rsidRPr="009123A0" w:rsidRDefault="008C5FC4" w:rsidP="00BE61C7">
      <w:pPr>
        <w:rPr>
          <w:rFonts w:ascii="Arial" w:hAnsi="Arial" w:cs="Arial"/>
        </w:rPr>
      </w:pPr>
      <w:r w:rsidRPr="009123A0">
        <w:rPr>
          <w:rFonts w:ascii="Arial" w:hAnsi="Arial" w:cs="Arial"/>
        </w:rPr>
        <w:t xml:space="preserve">Analysis of gender pay across the medical workforce reveals a complex distribution. For early years’ medical trainees there is a gap in favour of female doctors, </w:t>
      </w:r>
      <w:r w:rsidR="0017167E">
        <w:rPr>
          <w:rFonts w:ascii="Arial" w:hAnsi="Arial" w:cs="Arial"/>
        </w:rPr>
        <w:t>however</w:t>
      </w:r>
      <w:r w:rsidRPr="009123A0">
        <w:rPr>
          <w:rFonts w:ascii="Arial" w:hAnsi="Arial" w:cs="Arial"/>
        </w:rPr>
        <w:t xml:space="preserve"> at more senior non-consultant levels the gap switches to one in favour of male doctors. </w:t>
      </w:r>
    </w:p>
    <w:p w:rsidR="008C5FC4" w:rsidRPr="009123A0" w:rsidRDefault="008C5FC4" w:rsidP="00BE61C7">
      <w:pPr>
        <w:rPr>
          <w:rFonts w:ascii="Arial" w:hAnsi="Arial" w:cs="Arial"/>
          <w:b/>
        </w:rPr>
      </w:pPr>
      <w:r w:rsidRPr="009123A0">
        <w:rPr>
          <w:rFonts w:ascii="Arial" w:hAnsi="Arial" w:cs="Arial"/>
          <w:b/>
        </w:rPr>
        <w:t xml:space="preserve">2. Introduction </w:t>
      </w:r>
    </w:p>
    <w:p w:rsidR="008C5FC4" w:rsidRPr="009123A0" w:rsidRDefault="008C5FC4" w:rsidP="00BE61C7">
      <w:pPr>
        <w:rPr>
          <w:rFonts w:ascii="Arial" w:hAnsi="Arial" w:cs="Arial"/>
        </w:rPr>
      </w:pPr>
      <w:r w:rsidRPr="009123A0">
        <w:rPr>
          <w:rFonts w:ascii="Arial" w:hAnsi="Arial" w:cs="Arial"/>
        </w:rPr>
        <w:t>The Equality Act 2010 (Specific Duties and Public Authorities) Regulations 2017 (</w:t>
      </w:r>
      <w:r w:rsidRPr="009123A0">
        <w:rPr>
          <w:rFonts w:ascii="Arial" w:hAnsi="Arial" w:cs="Arial"/>
          <w:b/>
          <w:i/>
          <w:iCs/>
        </w:rPr>
        <w:t>the Regulations</w:t>
      </w:r>
      <w:r w:rsidRPr="009123A0">
        <w:rPr>
          <w:rFonts w:ascii="Arial" w:hAnsi="Arial" w:cs="Arial"/>
        </w:rPr>
        <w:t xml:space="preserve">) require public sector organisations with over 250 employees to report on and publish their gender pay gap on a yearly basis. This is based on a snapshot from 31st March of each year, and each organisation is duty bound to publish information on their website. This report captures data as at 31st </w:t>
      </w:r>
      <w:r w:rsidR="00BE61C7" w:rsidRPr="009123A0">
        <w:rPr>
          <w:rFonts w:ascii="Arial" w:hAnsi="Arial" w:cs="Arial"/>
        </w:rPr>
        <w:t>March 20</w:t>
      </w:r>
      <w:r w:rsidR="00A7118F" w:rsidRPr="009123A0">
        <w:rPr>
          <w:rFonts w:ascii="Arial" w:hAnsi="Arial" w:cs="Arial"/>
        </w:rPr>
        <w:t>20.</w:t>
      </w:r>
    </w:p>
    <w:p w:rsidR="008C5FC4" w:rsidRPr="009123A0" w:rsidRDefault="00A7118F" w:rsidP="00BE61C7">
      <w:pPr>
        <w:rPr>
          <w:rFonts w:ascii="Arial" w:hAnsi="Arial" w:cs="Arial"/>
        </w:rPr>
      </w:pPr>
      <w:r w:rsidRPr="009123A0">
        <w:rPr>
          <w:rFonts w:ascii="Arial" w:hAnsi="Arial" w:cs="Arial"/>
        </w:rPr>
        <w:t>GHFT</w:t>
      </w:r>
      <w:r w:rsidR="00BE61C7" w:rsidRPr="009123A0">
        <w:rPr>
          <w:rFonts w:ascii="Arial" w:hAnsi="Arial" w:cs="Arial"/>
        </w:rPr>
        <w:t xml:space="preserve"> employs circa. 8000</w:t>
      </w:r>
      <w:r w:rsidR="008C5FC4" w:rsidRPr="009123A0">
        <w:rPr>
          <w:rFonts w:ascii="Arial" w:hAnsi="Arial" w:cs="Arial"/>
        </w:rPr>
        <w:t xml:space="preserve"> staff in a number </w:t>
      </w:r>
      <w:r w:rsidRPr="009123A0">
        <w:rPr>
          <w:rFonts w:ascii="Arial" w:hAnsi="Arial" w:cs="Arial"/>
        </w:rPr>
        <w:t>of Staff Groups</w:t>
      </w:r>
      <w:r w:rsidR="008C5FC4" w:rsidRPr="009123A0">
        <w:rPr>
          <w:rFonts w:ascii="Arial" w:hAnsi="Arial" w:cs="Arial"/>
        </w:rPr>
        <w:t xml:space="preserve">, including: administrative; nursing; allied health; and medical roles. All staff except for </w:t>
      </w:r>
      <w:r w:rsidRPr="009123A0">
        <w:rPr>
          <w:rFonts w:ascii="Arial" w:hAnsi="Arial" w:cs="Arial"/>
        </w:rPr>
        <w:t xml:space="preserve">medical and </w:t>
      </w:r>
      <w:r w:rsidR="008C5FC4" w:rsidRPr="009123A0">
        <w:rPr>
          <w:rFonts w:ascii="Arial" w:hAnsi="Arial" w:cs="Arial"/>
        </w:rPr>
        <w:t>Very Senio</w:t>
      </w:r>
      <w:r w:rsidRPr="009123A0">
        <w:rPr>
          <w:rFonts w:ascii="Arial" w:hAnsi="Arial" w:cs="Arial"/>
        </w:rPr>
        <w:t xml:space="preserve">r Managers (VSMs) are on </w:t>
      </w:r>
      <w:r w:rsidR="008C5FC4" w:rsidRPr="009123A0">
        <w:rPr>
          <w:rFonts w:ascii="Arial" w:hAnsi="Arial" w:cs="Arial"/>
        </w:rPr>
        <w:t>Agenda for Change</w:t>
      </w:r>
      <w:r w:rsidRPr="009123A0">
        <w:rPr>
          <w:rFonts w:ascii="Arial" w:hAnsi="Arial" w:cs="Arial"/>
        </w:rPr>
        <w:t xml:space="preserve"> pay</w:t>
      </w:r>
      <w:r w:rsidR="009C2125" w:rsidRPr="009123A0">
        <w:rPr>
          <w:rFonts w:ascii="Arial" w:hAnsi="Arial" w:cs="Arial"/>
        </w:rPr>
        <w:t>-</w:t>
      </w:r>
      <w:r w:rsidRPr="009123A0">
        <w:rPr>
          <w:rFonts w:ascii="Arial" w:hAnsi="Arial" w:cs="Arial"/>
        </w:rPr>
        <w:t>scales</w:t>
      </w:r>
      <w:r w:rsidR="008C5FC4" w:rsidRPr="009123A0">
        <w:rPr>
          <w:rFonts w:ascii="Arial" w:hAnsi="Arial" w:cs="Arial"/>
        </w:rPr>
        <w:t xml:space="preserve">, which provide a clear process of paying employees equally, irrespective of their gender or ethnicity. </w:t>
      </w:r>
    </w:p>
    <w:p w:rsidR="008C5FC4" w:rsidRPr="009123A0" w:rsidRDefault="008C5FC4" w:rsidP="00BE61C7">
      <w:pPr>
        <w:rPr>
          <w:rFonts w:ascii="Arial" w:hAnsi="Arial" w:cs="Arial"/>
          <w:b/>
        </w:rPr>
      </w:pPr>
      <w:r w:rsidRPr="009123A0">
        <w:rPr>
          <w:rFonts w:ascii="Arial" w:hAnsi="Arial" w:cs="Arial"/>
          <w:b/>
        </w:rPr>
        <w:t xml:space="preserve">What is the gender pay gap? </w:t>
      </w:r>
    </w:p>
    <w:p w:rsidR="008C5FC4" w:rsidRPr="009123A0" w:rsidRDefault="008C5FC4" w:rsidP="00BE61C7">
      <w:pPr>
        <w:rPr>
          <w:rFonts w:ascii="Arial" w:hAnsi="Arial" w:cs="Arial"/>
        </w:rPr>
      </w:pPr>
      <w:r w:rsidRPr="009123A0">
        <w:rPr>
          <w:rFonts w:ascii="Arial" w:hAnsi="Arial" w:cs="Arial"/>
        </w:rPr>
        <w:lastRenderedPageBreak/>
        <w:t>The gender pay gap is the difference between the average hou</w:t>
      </w:r>
      <w:r w:rsidR="00F22957" w:rsidRPr="009123A0">
        <w:rPr>
          <w:rFonts w:ascii="Arial" w:hAnsi="Arial" w:cs="Arial"/>
        </w:rPr>
        <w:t>rly earnings of men and</w:t>
      </w:r>
      <w:r w:rsidRPr="009123A0">
        <w:rPr>
          <w:rFonts w:ascii="Arial" w:hAnsi="Arial" w:cs="Arial"/>
        </w:rPr>
        <w:t xml:space="preserve"> women. This is not the same as equal pay, which is concerned with men and women earning equal pay for the same jobs, similar jobs or work of equal value. It is unlawful to pay people unequally because of gender. Instead the gender pay gap highlights any imbalance of average pay across an organisation. For example, if an organisation’s workforce is predominantly female yet the majority of senior positions are held by men, the average female salary would be lower than the average male salary. </w:t>
      </w:r>
    </w:p>
    <w:p w:rsidR="008C5FC4" w:rsidRPr="009123A0" w:rsidRDefault="008C5FC4" w:rsidP="00BE61C7">
      <w:pPr>
        <w:rPr>
          <w:rFonts w:ascii="Arial" w:hAnsi="Arial" w:cs="Arial"/>
          <w:b/>
        </w:rPr>
      </w:pPr>
      <w:r w:rsidRPr="009123A0">
        <w:rPr>
          <w:rFonts w:ascii="Arial" w:hAnsi="Arial" w:cs="Arial"/>
          <w:b/>
        </w:rPr>
        <w:t xml:space="preserve">What do we have to report on? </w:t>
      </w:r>
    </w:p>
    <w:p w:rsidR="008C5FC4" w:rsidRPr="009123A0" w:rsidRDefault="008C5FC4" w:rsidP="00BE61C7">
      <w:pPr>
        <w:rPr>
          <w:rFonts w:ascii="Arial" w:hAnsi="Arial" w:cs="Arial"/>
        </w:rPr>
      </w:pPr>
      <w:r w:rsidRPr="009123A0">
        <w:rPr>
          <w:rFonts w:ascii="Arial" w:hAnsi="Arial" w:cs="Arial"/>
        </w:rPr>
        <w:t xml:space="preserve">The </w:t>
      </w:r>
      <w:r w:rsidR="003F7B66" w:rsidRPr="009123A0">
        <w:rPr>
          <w:rFonts w:ascii="Arial" w:hAnsi="Arial" w:cs="Arial"/>
        </w:rPr>
        <w:t xml:space="preserve">statutory requirements </w:t>
      </w:r>
      <w:r w:rsidRPr="009123A0">
        <w:rPr>
          <w:rFonts w:ascii="Arial" w:hAnsi="Arial" w:cs="Arial"/>
        </w:rPr>
        <w:t xml:space="preserve">of the </w:t>
      </w:r>
      <w:r w:rsidR="003F7B66" w:rsidRPr="009123A0">
        <w:rPr>
          <w:rFonts w:ascii="Arial" w:hAnsi="Arial" w:cs="Arial"/>
        </w:rPr>
        <w:t>Gender Pay Gap legislation</w:t>
      </w:r>
      <w:r w:rsidRPr="009123A0">
        <w:rPr>
          <w:rFonts w:ascii="Arial" w:hAnsi="Arial" w:cs="Arial"/>
        </w:rPr>
        <w:t xml:space="preserve"> is that each public sector organisation must calculate the following: </w:t>
      </w:r>
    </w:p>
    <w:p w:rsidR="008C5FC4" w:rsidRPr="009123A0" w:rsidRDefault="008C5FC4" w:rsidP="00BE61C7">
      <w:pPr>
        <w:pStyle w:val="ListParagraph"/>
        <w:numPr>
          <w:ilvl w:val="0"/>
          <w:numId w:val="5"/>
        </w:numPr>
        <w:rPr>
          <w:rFonts w:ascii="Arial" w:hAnsi="Arial" w:cs="Arial"/>
        </w:rPr>
      </w:pPr>
      <w:r w:rsidRPr="009123A0">
        <w:rPr>
          <w:rFonts w:ascii="Arial" w:hAnsi="Arial" w:cs="Arial"/>
        </w:rPr>
        <w:t xml:space="preserve">The mean basic pay gender pay gap </w:t>
      </w:r>
    </w:p>
    <w:p w:rsidR="008C5FC4" w:rsidRPr="009123A0" w:rsidRDefault="008C5FC4" w:rsidP="00BE61C7">
      <w:pPr>
        <w:pStyle w:val="ListParagraph"/>
        <w:numPr>
          <w:ilvl w:val="0"/>
          <w:numId w:val="5"/>
        </w:numPr>
        <w:rPr>
          <w:rFonts w:ascii="Arial" w:hAnsi="Arial" w:cs="Arial"/>
        </w:rPr>
      </w:pPr>
      <w:r w:rsidRPr="009123A0">
        <w:rPr>
          <w:rFonts w:ascii="Arial" w:hAnsi="Arial" w:cs="Arial"/>
        </w:rPr>
        <w:t xml:space="preserve">The median basic pay gender pay gap </w:t>
      </w:r>
    </w:p>
    <w:p w:rsidR="008C5FC4" w:rsidRPr="009123A0" w:rsidRDefault="008C5FC4" w:rsidP="00BE61C7">
      <w:pPr>
        <w:pStyle w:val="ListParagraph"/>
        <w:numPr>
          <w:ilvl w:val="0"/>
          <w:numId w:val="5"/>
        </w:numPr>
        <w:rPr>
          <w:rFonts w:ascii="Arial" w:hAnsi="Arial" w:cs="Arial"/>
        </w:rPr>
      </w:pPr>
      <w:r w:rsidRPr="009123A0">
        <w:rPr>
          <w:rFonts w:ascii="Arial" w:hAnsi="Arial" w:cs="Arial"/>
        </w:rPr>
        <w:t xml:space="preserve">The proportion of males and females in each quartile pay band </w:t>
      </w:r>
    </w:p>
    <w:p w:rsidR="008C5FC4" w:rsidRPr="009123A0" w:rsidRDefault="008C5FC4" w:rsidP="00BE61C7">
      <w:pPr>
        <w:pStyle w:val="ListParagraph"/>
        <w:numPr>
          <w:ilvl w:val="0"/>
          <w:numId w:val="5"/>
        </w:numPr>
        <w:rPr>
          <w:rFonts w:ascii="Arial" w:hAnsi="Arial" w:cs="Arial"/>
        </w:rPr>
      </w:pPr>
      <w:r w:rsidRPr="009123A0">
        <w:rPr>
          <w:rFonts w:ascii="Arial" w:hAnsi="Arial" w:cs="Arial"/>
        </w:rPr>
        <w:t xml:space="preserve">The mean bonus gender pay gap </w:t>
      </w:r>
    </w:p>
    <w:p w:rsidR="008C5FC4" w:rsidRPr="009123A0" w:rsidRDefault="008C5FC4" w:rsidP="00BE61C7">
      <w:pPr>
        <w:pStyle w:val="ListParagraph"/>
        <w:numPr>
          <w:ilvl w:val="0"/>
          <w:numId w:val="5"/>
        </w:numPr>
        <w:rPr>
          <w:rFonts w:ascii="Arial" w:hAnsi="Arial" w:cs="Arial"/>
        </w:rPr>
      </w:pPr>
      <w:r w:rsidRPr="009123A0">
        <w:rPr>
          <w:rFonts w:ascii="Arial" w:hAnsi="Arial" w:cs="Arial"/>
        </w:rPr>
        <w:t xml:space="preserve">The median bonus gender pay gap </w:t>
      </w:r>
    </w:p>
    <w:p w:rsidR="008C5FC4" w:rsidRPr="009123A0" w:rsidRDefault="008C5FC4" w:rsidP="00BE61C7">
      <w:pPr>
        <w:pStyle w:val="ListParagraph"/>
        <w:numPr>
          <w:ilvl w:val="0"/>
          <w:numId w:val="5"/>
        </w:numPr>
        <w:rPr>
          <w:rFonts w:ascii="Arial" w:hAnsi="Arial" w:cs="Arial"/>
        </w:rPr>
      </w:pPr>
      <w:r w:rsidRPr="009123A0">
        <w:rPr>
          <w:rFonts w:ascii="Arial" w:hAnsi="Arial" w:cs="Arial"/>
        </w:rPr>
        <w:t>The proportion of both males and fe</w:t>
      </w:r>
      <w:r w:rsidR="00BE61C7" w:rsidRPr="009123A0">
        <w:rPr>
          <w:rFonts w:ascii="Arial" w:hAnsi="Arial" w:cs="Arial"/>
        </w:rPr>
        <w:t>males receiving a bonus payment</w:t>
      </w:r>
    </w:p>
    <w:p w:rsidR="008C5FC4" w:rsidRPr="009123A0" w:rsidRDefault="008C5FC4" w:rsidP="00BE61C7">
      <w:pPr>
        <w:rPr>
          <w:rFonts w:ascii="Arial" w:hAnsi="Arial" w:cs="Arial"/>
          <w:b/>
        </w:rPr>
      </w:pPr>
      <w:r w:rsidRPr="009123A0">
        <w:rPr>
          <w:rFonts w:ascii="Arial" w:hAnsi="Arial" w:cs="Arial"/>
          <w:b/>
        </w:rPr>
        <w:t xml:space="preserve">Definitions of pay gap </w:t>
      </w:r>
    </w:p>
    <w:p w:rsidR="008C5FC4" w:rsidRPr="009123A0" w:rsidRDefault="008C5FC4" w:rsidP="00BE61C7">
      <w:pPr>
        <w:rPr>
          <w:rFonts w:ascii="Arial" w:hAnsi="Arial" w:cs="Arial"/>
        </w:rPr>
      </w:pPr>
      <w:r w:rsidRPr="009123A0">
        <w:rPr>
          <w:rFonts w:ascii="Arial" w:hAnsi="Arial" w:cs="Arial"/>
        </w:rPr>
        <w:t xml:space="preserve">The </w:t>
      </w:r>
      <w:r w:rsidRPr="009123A0">
        <w:rPr>
          <w:rFonts w:ascii="Arial" w:hAnsi="Arial" w:cs="Arial"/>
          <w:b/>
        </w:rPr>
        <w:t>mean pay gap</w:t>
      </w:r>
      <w:r w:rsidRPr="009123A0">
        <w:rPr>
          <w:rFonts w:ascii="Arial" w:hAnsi="Arial" w:cs="Arial"/>
        </w:rPr>
        <w:t xml:space="preserve"> is the difference between the pay of all male and all female employees when added up separately and divided respectively by the total number of males, and the total number of females in the workforce. </w:t>
      </w:r>
    </w:p>
    <w:p w:rsidR="008C5FC4" w:rsidRPr="009123A0" w:rsidRDefault="008C5FC4" w:rsidP="00BE61C7">
      <w:pPr>
        <w:rPr>
          <w:rFonts w:ascii="Arial" w:hAnsi="Arial" w:cs="Arial"/>
        </w:rPr>
      </w:pPr>
      <w:r w:rsidRPr="009123A0">
        <w:rPr>
          <w:rFonts w:ascii="Arial" w:hAnsi="Arial" w:cs="Arial"/>
        </w:rPr>
        <w:t xml:space="preserve">The </w:t>
      </w:r>
      <w:r w:rsidRPr="009123A0">
        <w:rPr>
          <w:rFonts w:ascii="Arial" w:hAnsi="Arial" w:cs="Arial"/>
          <w:b/>
        </w:rPr>
        <w:t>median pay gap</w:t>
      </w:r>
      <w:r w:rsidRPr="009123A0">
        <w:rPr>
          <w:rFonts w:ascii="Arial" w:hAnsi="Arial" w:cs="Arial"/>
        </w:rPr>
        <w:t xml:space="preserve"> is the difference between the pay of the middle male and the middle female, when all male employees and then all female employees are listed from the highest to the lowest paid. </w:t>
      </w:r>
    </w:p>
    <w:p w:rsidR="008C5FC4" w:rsidRPr="009123A0" w:rsidRDefault="008C5FC4" w:rsidP="00BE61C7">
      <w:pPr>
        <w:rPr>
          <w:rFonts w:ascii="Arial" w:hAnsi="Arial" w:cs="Arial"/>
          <w:b/>
        </w:rPr>
      </w:pPr>
      <w:r w:rsidRPr="009123A0">
        <w:rPr>
          <w:rFonts w:ascii="Arial" w:hAnsi="Arial" w:cs="Arial"/>
          <w:b/>
        </w:rPr>
        <w:t xml:space="preserve">Who is included? </w:t>
      </w:r>
    </w:p>
    <w:p w:rsidR="008C5FC4" w:rsidRPr="009123A0" w:rsidRDefault="008C5FC4" w:rsidP="00BE61C7">
      <w:pPr>
        <w:rPr>
          <w:rFonts w:ascii="Arial" w:hAnsi="Arial" w:cs="Arial"/>
        </w:rPr>
      </w:pPr>
      <w:r w:rsidRPr="009123A0">
        <w:rPr>
          <w:rFonts w:ascii="Arial" w:hAnsi="Arial" w:cs="Arial"/>
        </w:rPr>
        <w:t xml:space="preserve">All staff who were employed by </w:t>
      </w:r>
      <w:r w:rsidR="00CE67B9" w:rsidRPr="009123A0">
        <w:rPr>
          <w:rFonts w:ascii="Arial" w:hAnsi="Arial" w:cs="Arial"/>
        </w:rPr>
        <w:t>GHFT</w:t>
      </w:r>
      <w:r w:rsidRPr="009123A0">
        <w:rPr>
          <w:rFonts w:ascii="Arial" w:hAnsi="Arial" w:cs="Arial"/>
        </w:rPr>
        <w:t xml:space="preserve"> and on full pay on the snapshot date (31st </w:t>
      </w:r>
      <w:r w:rsidR="003721DB" w:rsidRPr="009123A0">
        <w:rPr>
          <w:rFonts w:ascii="Arial" w:hAnsi="Arial" w:cs="Arial"/>
        </w:rPr>
        <w:t>March 20</w:t>
      </w:r>
      <w:r w:rsidR="00CE67B9" w:rsidRPr="009123A0">
        <w:rPr>
          <w:rFonts w:ascii="Arial" w:hAnsi="Arial" w:cs="Arial"/>
        </w:rPr>
        <w:t>20</w:t>
      </w:r>
      <w:r w:rsidRPr="009123A0">
        <w:rPr>
          <w:rFonts w:ascii="Arial" w:hAnsi="Arial" w:cs="Arial"/>
        </w:rPr>
        <w:t>) are included. Bank staff who worked a shift on t</w:t>
      </w:r>
      <w:r w:rsidR="00CE67B9" w:rsidRPr="009123A0">
        <w:rPr>
          <w:rFonts w:ascii="Arial" w:hAnsi="Arial" w:cs="Arial"/>
        </w:rPr>
        <w:t xml:space="preserve">hat date are also included. </w:t>
      </w:r>
      <w:r w:rsidR="001E3CC2" w:rsidRPr="009123A0">
        <w:rPr>
          <w:rFonts w:ascii="Arial" w:hAnsi="Arial" w:cs="Arial"/>
        </w:rPr>
        <w:t>E</w:t>
      </w:r>
      <w:r w:rsidR="00CE67B9" w:rsidRPr="009123A0">
        <w:rPr>
          <w:rFonts w:ascii="Arial" w:hAnsi="Arial" w:cs="Arial"/>
        </w:rPr>
        <w:t>mploy</w:t>
      </w:r>
      <w:r w:rsidRPr="009123A0">
        <w:rPr>
          <w:rFonts w:ascii="Arial" w:hAnsi="Arial" w:cs="Arial"/>
        </w:rPr>
        <w:t xml:space="preserve">ees who are on half or </w:t>
      </w:r>
      <w:r w:rsidR="004533C1" w:rsidRPr="009123A0">
        <w:rPr>
          <w:rFonts w:ascii="Arial" w:hAnsi="Arial" w:cs="Arial"/>
        </w:rPr>
        <w:t>nil absence</w:t>
      </w:r>
      <w:r w:rsidR="001E3CC2" w:rsidRPr="009123A0">
        <w:rPr>
          <w:rFonts w:ascii="Arial" w:hAnsi="Arial" w:cs="Arial"/>
        </w:rPr>
        <w:t>,</w:t>
      </w:r>
      <w:r w:rsidR="004533C1" w:rsidRPr="009123A0">
        <w:rPr>
          <w:rFonts w:ascii="Arial" w:hAnsi="Arial" w:cs="Arial"/>
        </w:rPr>
        <w:t xml:space="preserve"> </w:t>
      </w:r>
      <w:r w:rsidR="009C2125" w:rsidRPr="009123A0">
        <w:rPr>
          <w:rFonts w:ascii="Arial" w:hAnsi="Arial" w:cs="Arial"/>
        </w:rPr>
        <w:t>less than</w:t>
      </w:r>
      <w:r w:rsidR="001E3CC2" w:rsidRPr="009123A0">
        <w:rPr>
          <w:rFonts w:ascii="Arial" w:hAnsi="Arial" w:cs="Arial"/>
        </w:rPr>
        <w:t xml:space="preserve"> full pay </w:t>
      </w:r>
      <w:r w:rsidR="004533C1" w:rsidRPr="009123A0">
        <w:rPr>
          <w:rFonts w:ascii="Arial" w:hAnsi="Arial" w:cs="Arial"/>
        </w:rPr>
        <w:t xml:space="preserve">maternity leave </w:t>
      </w:r>
      <w:r w:rsidRPr="009123A0">
        <w:rPr>
          <w:rFonts w:ascii="Arial" w:hAnsi="Arial" w:cs="Arial"/>
        </w:rPr>
        <w:t>and agency staff</w:t>
      </w:r>
      <w:r w:rsidR="004533C1" w:rsidRPr="009123A0">
        <w:rPr>
          <w:rFonts w:ascii="Arial" w:hAnsi="Arial" w:cs="Arial"/>
        </w:rPr>
        <w:t xml:space="preserve"> </w:t>
      </w:r>
      <w:r w:rsidRPr="009123A0">
        <w:rPr>
          <w:rFonts w:ascii="Arial" w:hAnsi="Arial" w:cs="Arial"/>
        </w:rPr>
        <w:t xml:space="preserve">are not included. </w:t>
      </w:r>
    </w:p>
    <w:p w:rsidR="008C5FC4" w:rsidRPr="009123A0" w:rsidRDefault="008C5FC4" w:rsidP="00BE61C7">
      <w:pPr>
        <w:rPr>
          <w:rFonts w:ascii="Arial" w:hAnsi="Arial" w:cs="Arial"/>
          <w:b/>
        </w:rPr>
      </w:pPr>
      <w:r w:rsidRPr="009123A0">
        <w:rPr>
          <w:rFonts w:ascii="Arial" w:hAnsi="Arial" w:cs="Arial"/>
          <w:b/>
        </w:rPr>
        <w:t xml:space="preserve">3. Results for </w:t>
      </w:r>
      <w:r w:rsidR="00BE61C7" w:rsidRPr="009123A0">
        <w:rPr>
          <w:rFonts w:ascii="Arial" w:hAnsi="Arial" w:cs="Arial"/>
          <w:b/>
        </w:rPr>
        <w:t xml:space="preserve">Gloucestershire </w:t>
      </w:r>
      <w:r w:rsidRPr="009123A0">
        <w:rPr>
          <w:rFonts w:ascii="Arial" w:hAnsi="Arial" w:cs="Arial"/>
          <w:b/>
        </w:rPr>
        <w:t xml:space="preserve">Hospitals NHS </w:t>
      </w:r>
      <w:r w:rsidR="00BE61C7" w:rsidRPr="009123A0">
        <w:rPr>
          <w:rFonts w:ascii="Arial" w:hAnsi="Arial" w:cs="Arial"/>
          <w:b/>
        </w:rPr>
        <w:t xml:space="preserve">Foundation </w:t>
      </w:r>
      <w:r w:rsidRPr="009123A0">
        <w:rPr>
          <w:rFonts w:ascii="Arial" w:hAnsi="Arial" w:cs="Arial"/>
          <w:b/>
        </w:rPr>
        <w:t xml:space="preserve">Trust </w:t>
      </w:r>
    </w:p>
    <w:p w:rsidR="008C5FC4" w:rsidRPr="009123A0" w:rsidRDefault="008C5FC4" w:rsidP="00BE61C7">
      <w:pPr>
        <w:rPr>
          <w:rFonts w:ascii="Arial" w:hAnsi="Arial" w:cs="Arial"/>
          <w:b/>
        </w:rPr>
      </w:pPr>
      <w:r w:rsidRPr="009123A0">
        <w:rPr>
          <w:rFonts w:ascii="Arial" w:hAnsi="Arial" w:cs="Arial"/>
          <w:b/>
        </w:rPr>
        <w:t xml:space="preserve">Trust Gender Profile (based on headcount) </w:t>
      </w:r>
    </w:p>
    <w:p w:rsidR="00BE61C7" w:rsidRPr="009123A0" w:rsidRDefault="00BE61C7" w:rsidP="00BE61C7">
      <w:pPr>
        <w:rPr>
          <w:rFonts w:ascii="Arial" w:hAnsi="Arial" w:cs="Arial"/>
        </w:rPr>
      </w:pPr>
      <w:r w:rsidRPr="009123A0">
        <w:rPr>
          <w:rFonts w:ascii="Arial" w:hAnsi="Arial" w:cs="Arial"/>
        </w:rPr>
        <w:t>GHFT</w:t>
      </w:r>
      <w:r w:rsidR="001E3CC2" w:rsidRPr="009123A0">
        <w:rPr>
          <w:rFonts w:ascii="Arial" w:hAnsi="Arial" w:cs="Arial"/>
        </w:rPr>
        <w:t xml:space="preserve"> as</w:t>
      </w:r>
      <w:r w:rsidRPr="009123A0">
        <w:rPr>
          <w:rFonts w:ascii="Arial" w:hAnsi="Arial" w:cs="Arial"/>
        </w:rPr>
        <w:t xml:space="preserve"> </w:t>
      </w:r>
      <w:r w:rsidR="008C5FC4" w:rsidRPr="009123A0">
        <w:rPr>
          <w:rFonts w:ascii="Arial" w:hAnsi="Arial" w:cs="Arial"/>
        </w:rPr>
        <w:t xml:space="preserve">is typical of </w:t>
      </w:r>
      <w:r w:rsidR="001E3CC2" w:rsidRPr="009123A0">
        <w:rPr>
          <w:rFonts w:ascii="Arial" w:hAnsi="Arial" w:cs="Arial"/>
        </w:rPr>
        <w:t>the NHS</w:t>
      </w:r>
      <w:r w:rsidR="008C5FC4" w:rsidRPr="009123A0">
        <w:rPr>
          <w:rFonts w:ascii="Arial" w:hAnsi="Arial" w:cs="Arial"/>
        </w:rPr>
        <w:t xml:space="preserve">, has a higher </w:t>
      </w:r>
      <w:r w:rsidR="001E3CC2" w:rsidRPr="009123A0">
        <w:rPr>
          <w:rFonts w:ascii="Arial" w:hAnsi="Arial" w:cs="Arial"/>
        </w:rPr>
        <w:t>proportion</w:t>
      </w:r>
      <w:r w:rsidR="008C5FC4" w:rsidRPr="009123A0">
        <w:rPr>
          <w:rFonts w:ascii="Arial" w:hAnsi="Arial" w:cs="Arial"/>
        </w:rPr>
        <w:t xml:space="preserve"> of females </w:t>
      </w:r>
      <w:r w:rsidR="001E3CC2" w:rsidRPr="009123A0">
        <w:rPr>
          <w:rFonts w:ascii="Arial" w:hAnsi="Arial" w:cs="Arial"/>
        </w:rPr>
        <w:t>to</w:t>
      </w:r>
      <w:r w:rsidR="008C5FC4" w:rsidRPr="009123A0">
        <w:rPr>
          <w:rFonts w:ascii="Arial" w:hAnsi="Arial" w:cs="Arial"/>
        </w:rPr>
        <w:t xml:space="preserve"> males</w:t>
      </w:r>
      <w:r w:rsidRPr="009123A0">
        <w:rPr>
          <w:rFonts w:ascii="Arial" w:hAnsi="Arial" w:cs="Arial"/>
        </w:rPr>
        <w:t xml:space="preserve"> in its workforce – of the 7</w:t>
      </w:r>
      <w:r w:rsidR="006B0B7C" w:rsidRPr="009123A0">
        <w:rPr>
          <w:rFonts w:ascii="Arial" w:hAnsi="Arial" w:cs="Arial"/>
        </w:rPr>
        <w:t>939</w:t>
      </w:r>
      <w:r w:rsidR="008C5FC4" w:rsidRPr="009123A0">
        <w:rPr>
          <w:rFonts w:ascii="Arial" w:hAnsi="Arial" w:cs="Arial"/>
        </w:rPr>
        <w:t xml:space="preserve"> staff counted as part of the</w:t>
      </w:r>
      <w:r w:rsidRPr="009123A0">
        <w:rPr>
          <w:rFonts w:ascii="Arial" w:hAnsi="Arial" w:cs="Arial"/>
        </w:rPr>
        <w:t xml:space="preserve"> gender pay gap reporting, 6,</w:t>
      </w:r>
      <w:r w:rsidR="006B0B7C" w:rsidRPr="009123A0">
        <w:rPr>
          <w:rFonts w:ascii="Arial" w:hAnsi="Arial" w:cs="Arial"/>
        </w:rPr>
        <w:t>394</w:t>
      </w:r>
      <w:r w:rsidRPr="009123A0">
        <w:rPr>
          <w:rFonts w:ascii="Arial" w:hAnsi="Arial" w:cs="Arial"/>
        </w:rPr>
        <w:t xml:space="preserve"> were female compared to </w:t>
      </w:r>
      <w:r w:rsidR="006B0B7C" w:rsidRPr="009123A0">
        <w:rPr>
          <w:rFonts w:ascii="Arial" w:hAnsi="Arial" w:cs="Arial"/>
        </w:rPr>
        <w:t>1545</w:t>
      </w:r>
      <w:r w:rsidR="008C5FC4" w:rsidRPr="009123A0">
        <w:rPr>
          <w:rFonts w:ascii="Arial" w:hAnsi="Arial" w:cs="Arial"/>
        </w:rPr>
        <w:t xml:space="preserve"> male</w:t>
      </w:r>
    </w:p>
    <w:p w:rsidR="00BE61C7" w:rsidRPr="009123A0" w:rsidRDefault="00BE61C7" w:rsidP="00BE61C7">
      <w:pPr>
        <w:rPr>
          <w:rFonts w:ascii="Arial" w:hAnsi="Arial" w:cs="Arial"/>
        </w:rPr>
      </w:pPr>
    </w:p>
    <w:p w:rsidR="00BE61C7" w:rsidRPr="009123A0" w:rsidRDefault="00BE61C7" w:rsidP="00BE61C7">
      <w:pPr>
        <w:rPr>
          <w:rFonts w:ascii="Arial" w:hAnsi="Arial" w:cs="Arial"/>
        </w:rPr>
      </w:pPr>
    </w:p>
    <w:p w:rsidR="00BE61C7" w:rsidRPr="009123A0" w:rsidRDefault="00BE61C7" w:rsidP="00BE61C7">
      <w:pPr>
        <w:rPr>
          <w:rFonts w:ascii="Arial" w:hAnsi="Arial" w:cs="Arial"/>
        </w:rPr>
      </w:pPr>
    </w:p>
    <w:p w:rsidR="00BE61C7" w:rsidRPr="009123A0" w:rsidRDefault="0068695E" w:rsidP="00FC237D">
      <w:pPr>
        <w:jc w:val="center"/>
        <w:rPr>
          <w:rFonts w:ascii="Arial" w:hAnsi="Arial" w:cs="Arial"/>
        </w:rPr>
      </w:pPr>
      <w:r w:rsidRPr="009123A0">
        <w:rPr>
          <w:rFonts w:ascii="Arial" w:hAnsi="Arial" w:cs="Arial"/>
          <w:noProof/>
          <w:lang w:eastAsia="en-GB"/>
        </w:rPr>
        <w:lastRenderedPageBreak/>
        <w:drawing>
          <wp:inline distT="0" distB="0" distL="0" distR="0" wp14:anchorId="1C2A2826" wp14:editId="1852FC75">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8695E" w:rsidRPr="009123A0" w:rsidRDefault="00FC237D" w:rsidP="00BE61C7">
      <w:pPr>
        <w:rPr>
          <w:rFonts w:ascii="Arial" w:hAnsi="Arial" w:cs="Arial"/>
          <w:b/>
        </w:rPr>
      </w:pPr>
      <w:r w:rsidRPr="009123A0">
        <w:rPr>
          <w:rFonts w:ascii="Arial" w:hAnsi="Arial" w:cs="Arial"/>
          <w:b/>
        </w:rPr>
        <w:t>Gender Pay Gap</w:t>
      </w:r>
      <w:r w:rsidR="00811759" w:rsidRPr="009123A0">
        <w:rPr>
          <w:rFonts w:ascii="Arial" w:hAnsi="Arial" w:cs="Arial"/>
          <w:b/>
        </w:rPr>
        <w:t xml:space="preserve"> GHFT </w:t>
      </w:r>
      <w:r w:rsidR="00811759" w:rsidRPr="009123A0">
        <w:rPr>
          <w:rFonts w:ascii="Arial" w:hAnsi="Arial" w:cs="Arial"/>
          <w:b/>
          <w:u w:val="single"/>
        </w:rPr>
        <w:t>including</w:t>
      </w:r>
      <w:r w:rsidR="00811759" w:rsidRPr="009123A0">
        <w:rPr>
          <w:rFonts w:ascii="Arial" w:hAnsi="Arial" w:cs="Arial"/>
          <w:b/>
        </w:rPr>
        <w:t xml:space="preserve"> Medical Staff</w:t>
      </w:r>
    </w:p>
    <w:p w:rsidR="00E15314" w:rsidRPr="009123A0" w:rsidRDefault="00E15314" w:rsidP="00BE61C7">
      <w:pPr>
        <w:rPr>
          <w:rFonts w:ascii="Arial" w:hAnsi="Arial" w:cs="Arial"/>
          <w:b/>
        </w:rPr>
      </w:pPr>
      <w:r w:rsidRPr="009123A0">
        <w:rPr>
          <w:rFonts w:ascii="Arial" w:hAnsi="Arial" w:cs="Arial"/>
          <w:noProof/>
          <w:lang w:eastAsia="en-GB"/>
        </w:rPr>
        <w:drawing>
          <wp:inline distT="0" distB="0" distL="0" distR="0" wp14:anchorId="42ABCAA4" wp14:editId="5389C543">
            <wp:extent cx="2628900" cy="242697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703158" w:rsidRPr="009123A0">
        <w:rPr>
          <w:rFonts w:ascii="Arial" w:hAnsi="Arial" w:cs="Arial"/>
          <w:noProof/>
          <w:lang w:eastAsia="en-GB"/>
        </w:rPr>
        <w:drawing>
          <wp:inline distT="0" distB="0" distL="0" distR="0" wp14:anchorId="67618F1A" wp14:editId="24BBCAA3">
            <wp:extent cx="2484120" cy="23241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237D" w:rsidRPr="009123A0" w:rsidRDefault="00B874B4" w:rsidP="00B874B4">
      <w:pPr>
        <w:jc w:val="center"/>
        <w:rPr>
          <w:rFonts w:ascii="Arial" w:hAnsi="Arial" w:cs="Arial"/>
        </w:rPr>
      </w:pPr>
      <w:r w:rsidRPr="009123A0">
        <w:rPr>
          <w:rFonts w:ascii="Arial" w:hAnsi="Arial" w:cs="Arial"/>
        </w:rPr>
        <w:t xml:space="preserve">                 </w:t>
      </w:r>
    </w:p>
    <w:tbl>
      <w:tblPr>
        <w:tblStyle w:val="TableGrid"/>
        <w:tblW w:w="0" w:type="auto"/>
        <w:tblLook w:val="04A0" w:firstRow="1" w:lastRow="0" w:firstColumn="1" w:lastColumn="0" w:noHBand="0" w:noVBand="1"/>
      </w:tblPr>
      <w:tblGrid>
        <w:gridCol w:w="4619"/>
        <w:gridCol w:w="4623"/>
      </w:tblGrid>
      <w:tr w:rsidR="00792D31" w:rsidRPr="009123A0" w:rsidTr="00792D31">
        <w:tc>
          <w:tcPr>
            <w:tcW w:w="5413" w:type="dxa"/>
            <w:tcBorders>
              <w:top w:val="nil"/>
              <w:left w:val="nil"/>
              <w:bottom w:val="nil"/>
              <w:right w:val="nil"/>
            </w:tcBorders>
          </w:tcPr>
          <w:p w:rsidR="00792D31" w:rsidRPr="009123A0" w:rsidRDefault="00792D31" w:rsidP="00D40561">
            <w:pPr>
              <w:jc w:val="center"/>
              <w:rPr>
                <w:rFonts w:ascii="Arial" w:hAnsi="Arial" w:cs="Arial"/>
                <w:b/>
              </w:rPr>
            </w:pPr>
            <w:r w:rsidRPr="009123A0">
              <w:rPr>
                <w:rFonts w:ascii="Arial" w:hAnsi="Arial" w:cs="Arial"/>
                <w:b/>
              </w:rPr>
              <w:t>Mean gender pay g</w:t>
            </w:r>
            <w:r w:rsidR="00B874B4" w:rsidRPr="009123A0">
              <w:rPr>
                <w:rFonts w:ascii="Arial" w:hAnsi="Arial" w:cs="Arial"/>
                <w:b/>
              </w:rPr>
              <w:t xml:space="preserve">ap – </w:t>
            </w:r>
            <w:r w:rsidR="00D40561" w:rsidRPr="009123A0">
              <w:rPr>
                <w:rFonts w:ascii="Arial" w:hAnsi="Arial" w:cs="Arial"/>
                <w:b/>
              </w:rPr>
              <w:t>28.6</w:t>
            </w:r>
            <w:r w:rsidRPr="009123A0">
              <w:rPr>
                <w:rFonts w:ascii="Arial" w:hAnsi="Arial" w:cs="Arial"/>
                <w:b/>
              </w:rPr>
              <w:t>%</w:t>
            </w:r>
          </w:p>
        </w:tc>
        <w:tc>
          <w:tcPr>
            <w:tcW w:w="5413" w:type="dxa"/>
            <w:tcBorders>
              <w:top w:val="nil"/>
              <w:left w:val="nil"/>
              <w:bottom w:val="nil"/>
              <w:right w:val="nil"/>
            </w:tcBorders>
          </w:tcPr>
          <w:p w:rsidR="00792D31" w:rsidRPr="009123A0" w:rsidRDefault="00792D31" w:rsidP="00D40561">
            <w:pPr>
              <w:jc w:val="center"/>
              <w:rPr>
                <w:rFonts w:ascii="Arial" w:hAnsi="Arial" w:cs="Arial"/>
                <w:b/>
              </w:rPr>
            </w:pPr>
            <w:r w:rsidRPr="009123A0">
              <w:rPr>
                <w:rFonts w:ascii="Arial" w:hAnsi="Arial" w:cs="Arial"/>
                <w:b/>
              </w:rPr>
              <w:t xml:space="preserve">Median gender pay gap – </w:t>
            </w:r>
            <w:r w:rsidR="00D40561" w:rsidRPr="009123A0">
              <w:rPr>
                <w:rFonts w:ascii="Arial" w:hAnsi="Arial" w:cs="Arial"/>
                <w:b/>
              </w:rPr>
              <w:t>19.8</w:t>
            </w:r>
            <w:r w:rsidRPr="009123A0">
              <w:rPr>
                <w:rFonts w:ascii="Arial" w:hAnsi="Arial" w:cs="Arial"/>
                <w:b/>
              </w:rPr>
              <w:t>%</w:t>
            </w:r>
          </w:p>
        </w:tc>
      </w:tr>
    </w:tbl>
    <w:p w:rsidR="00F52B6F" w:rsidRPr="009123A0" w:rsidRDefault="00F52B6F" w:rsidP="00BE61C7">
      <w:pPr>
        <w:rPr>
          <w:rFonts w:ascii="Arial" w:hAnsi="Arial" w:cs="Arial"/>
        </w:rPr>
      </w:pPr>
    </w:p>
    <w:p w:rsidR="008C5FC4" w:rsidRPr="009123A0" w:rsidRDefault="008C5FC4" w:rsidP="00BE61C7">
      <w:pPr>
        <w:rPr>
          <w:rFonts w:ascii="Arial" w:hAnsi="Arial" w:cs="Arial"/>
        </w:rPr>
      </w:pPr>
      <w:r w:rsidRPr="009123A0">
        <w:rPr>
          <w:rFonts w:ascii="Arial" w:hAnsi="Arial" w:cs="Arial"/>
        </w:rPr>
        <w:t>The above charts show that the m</w:t>
      </w:r>
      <w:r w:rsidR="00B874B4" w:rsidRPr="009123A0">
        <w:rPr>
          <w:rFonts w:ascii="Arial" w:hAnsi="Arial" w:cs="Arial"/>
        </w:rPr>
        <w:t>ean hourly pay for males is £6.80</w:t>
      </w:r>
      <w:r w:rsidRPr="009123A0">
        <w:rPr>
          <w:rFonts w:ascii="Arial" w:hAnsi="Arial" w:cs="Arial"/>
        </w:rPr>
        <w:t xml:space="preserve"> higher than that of</w:t>
      </w:r>
      <w:r w:rsidR="00792D31" w:rsidRPr="009123A0">
        <w:rPr>
          <w:rFonts w:ascii="Arial" w:hAnsi="Arial" w:cs="Arial"/>
        </w:rPr>
        <w:t xml:space="preserve"> fe</w:t>
      </w:r>
      <w:r w:rsidR="00B874B4" w:rsidRPr="009123A0">
        <w:rPr>
          <w:rFonts w:ascii="Arial" w:hAnsi="Arial" w:cs="Arial"/>
        </w:rPr>
        <w:t xml:space="preserve">males, a gender pay gap of </w:t>
      </w:r>
      <w:r w:rsidR="00213E44" w:rsidRPr="009123A0">
        <w:rPr>
          <w:rFonts w:ascii="Arial" w:hAnsi="Arial" w:cs="Arial"/>
        </w:rPr>
        <w:t>28.6</w:t>
      </w:r>
      <w:r w:rsidRPr="009123A0">
        <w:rPr>
          <w:rFonts w:ascii="Arial" w:hAnsi="Arial" w:cs="Arial"/>
        </w:rPr>
        <w:t xml:space="preserve">%. </w:t>
      </w:r>
    </w:p>
    <w:p w:rsidR="008C5FC4" w:rsidRPr="009123A0" w:rsidRDefault="008C5FC4" w:rsidP="00BE61C7">
      <w:pPr>
        <w:rPr>
          <w:rFonts w:ascii="Arial" w:hAnsi="Arial" w:cs="Arial"/>
        </w:rPr>
      </w:pPr>
      <w:r w:rsidRPr="009123A0">
        <w:rPr>
          <w:rFonts w:ascii="Arial" w:hAnsi="Arial" w:cs="Arial"/>
        </w:rPr>
        <w:t>They also show that med</w:t>
      </w:r>
      <w:r w:rsidR="00213E44" w:rsidRPr="009123A0">
        <w:rPr>
          <w:rFonts w:ascii="Arial" w:hAnsi="Arial" w:cs="Arial"/>
        </w:rPr>
        <w:t>ian pay for males is £3.80</w:t>
      </w:r>
      <w:r w:rsidRPr="009123A0">
        <w:rPr>
          <w:rFonts w:ascii="Arial" w:hAnsi="Arial" w:cs="Arial"/>
        </w:rPr>
        <w:t xml:space="preserve"> higher tha</w:t>
      </w:r>
      <w:r w:rsidR="00213E44" w:rsidRPr="009123A0">
        <w:rPr>
          <w:rFonts w:ascii="Arial" w:hAnsi="Arial" w:cs="Arial"/>
        </w:rPr>
        <w:t>n females, a gender pay gap of</w:t>
      </w:r>
      <w:r w:rsidR="00A26E5C">
        <w:rPr>
          <w:rFonts w:ascii="Arial" w:hAnsi="Arial" w:cs="Arial"/>
        </w:rPr>
        <w:t xml:space="preserve"> </w:t>
      </w:r>
      <w:r w:rsidR="00213E44" w:rsidRPr="009123A0">
        <w:rPr>
          <w:rFonts w:ascii="Arial" w:hAnsi="Arial" w:cs="Arial"/>
        </w:rPr>
        <w:t>19.8</w:t>
      </w:r>
      <w:r w:rsidRPr="009123A0">
        <w:rPr>
          <w:rFonts w:ascii="Arial" w:hAnsi="Arial" w:cs="Arial"/>
        </w:rPr>
        <w:t xml:space="preserve">%. </w:t>
      </w:r>
    </w:p>
    <w:p w:rsidR="00BE61C7" w:rsidRPr="009123A0" w:rsidRDefault="00BE61C7" w:rsidP="00BE61C7">
      <w:pPr>
        <w:rPr>
          <w:rFonts w:ascii="Arial" w:hAnsi="Arial" w:cs="Arial"/>
        </w:rPr>
        <w:sectPr w:rsidR="00BE61C7" w:rsidRPr="009123A0">
          <w:headerReference w:type="default" r:id="rId12"/>
          <w:footerReference w:type="default" r:id="rId13"/>
          <w:pgSz w:w="11906" w:h="16838"/>
          <w:pgMar w:top="1440" w:right="1440" w:bottom="1440" w:left="1440" w:header="708" w:footer="708" w:gutter="0"/>
          <w:cols w:space="708"/>
          <w:docGrid w:linePitch="360"/>
        </w:sectPr>
      </w:pPr>
    </w:p>
    <w:p w:rsidR="008C5FC4" w:rsidRPr="009123A0" w:rsidRDefault="008C5FC4" w:rsidP="00BE61C7">
      <w:pPr>
        <w:rPr>
          <w:rFonts w:ascii="Arial" w:hAnsi="Arial" w:cs="Arial"/>
        </w:rPr>
      </w:pPr>
      <w:r w:rsidRPr="009123A0">
        <w:rPr>
          <w:rFonts w:ascii="Arial" w:hAnsi="Arial" w:cs="Arial"/>
        </w:rPr>
        <w:lastRenderedPageBreak/>
        <w:t>We are also required to split the workforce into quartiles (blocks of 25%) split by pay and show the proportion of males and females in each quartile. The results of this split are shown below. In broad terms this shows that compared to the position across the workforce as a</w:t>
      </w:r>
      <w:r w:rsidR="00E37113" w:rsidRPr="009123A0">
        <w:rPr>
          <w:rFonts w:ascii="Arial" w:hAnsi="Arial" w:cs="Arial"/>
        </w:rPr>
        <w:t xml:space="preserve"> whole, where males represent 19</w:t>
      </w:r>
      <w:r w:rsidRPr="009123A0">
        <w:rPr>
          <w:rFonts w:ascii="Arial" w:hAnsi="Arial" w:cs="Arial"/>
        </w:rPr>
        <w:t xml:space="preserve">% of the workforce there are relatively more males in the highest </w:t>
      </w:r>
      <w:r w:rsidR="00B43DC3" w:rsidRPr="009123A0">
        <w:rPr>
          <w:rFonts w:ascii="Arial" w:hAnsi="Arial" w:cs="Arial"/>
        </w:rPr>
        <w:t>pay quartile (3</w:t>
      </w:r>
      <w:r w:rsidR="001807E3" w:rsidRPr="009123A0">
        <w:rPr>
          <w:rFonts w:ascii="Arial" w:hAnsi="Arial" w:cs="Arial"/>
        </w:rPr>
        <w:t>4.7</w:t>
      </w:r>
      <w:r w:rsidRPr="009123A0">
        <w:rPr>
          <w:rFonts w:ascii="Arial" w:hAnsi="Arial" w:cs="Arial"/>
        </w:rPr>
        <w:t>%</w:t>
      </w:r>
      <w:r w:rsidR="00E37113" w:rsidRPr="009123A0">
        <w:rPr>
          <w:rFonts w:ascii="Arial" w:hAnsi="Arial" w:cs="Arial"/>
        </w:rPr>
        <w:t>)</w:t>
      </w:r>
      <w:r w:rsidRPr="009123A0">
        <w:rPr>
          <w:rFonts w:ascii="Arial" w:hAnsi="Arial" w:cs="Arial"/>
        </w:rPr>
        <w:t xml:space="preserve">. </w:t>
      </w:r>
    </w:p>
    <w:p w:rsidR="009C2125" w:rsidRPr="009123A0" w:rsidRDefault="009C2125" w:rsidP="00BE61C7">
      <w:pPr>
        <w:rPr>
          <w:rFonts w:ascii="Arial" w:hAnsi="Arial" w:cs="Arial"/>
        </w:rPr>
      </w:pPr>
      <w:r w:rsidRPr="009123A0">
        <w:rPr>
          <w:rFonts w:ascii="Arial" w:hAnsi="Arial" w:cs="Arial"/>
        </w:rPr>
        <w:lastRenderedPageBreak/>
        <w:t>As explained in the introduction, the inclusion of Medical staff with the rest of the workforce has a very significant effect on the GPG figures. The next three pages illustrate this.</w:t>
      </w:r>
    </w:p>
    <w:p w:rsidR="008C5FC4" w:rsidRPr="009123A0" w:rsidRDefault="008C5FC4" w:rsidP="00BE61C7">
      <w:pPr>
        <w:rPr>
          <w:rFonts w:ascii="Arial" w:hAnsi="Arial" w:cs="Arial"/>
          <w:b/>
        </w:rPr>
      </w:pPr>
      <w:r w:rsidRPr="009123A0">
        <w:rPr>
          <w:rFonts w:ascii="Arial" w:hAnsi="Arial" w:cs="Arial"/>
          <w:b/>
        </w:rPr>
        <w:t>Pa</w:t>
      </w:r>
      <w:r w:rsidR="009E7F02" w:rsidRPr="009123A0">
        <w:rPr>
          <w:rFonts w:ascii="Arial" w:hAnsi="Arial" w:cs="Arial"/>
          <w:b/>
        </w:rPr>
        <w:t xml:space="preserve">y quartile split: </w:t>
      </w:r>
    </w:p>
    <w:p w:rsidR="008C5FC4" w:rsidRPr="009123A0" w:rsidRDefault="001807E3" w:rsidP="00BE61C7">
      <w:pPr>
        <w:rPr>
          <w:rFonts w:ascii="Arial" w:hAnsi="Arial" w:cs="Arial"/>
        </w:rPr>
      </w:pPr>
      <w:r w:rsidRPr="009123A0">
        <w:rPr>
          <w:rFonts w:ascii="Arial" w:hAnsi="Arial" w:cs="Arial"/>
          <w:noProof/>
          <w:lang w:eastAsia="en-GB"/>
        </w:rPr>
        <w:drawing>
          <wp:inline distT="0" distB="0" distL="0" distR="0" wp14:anchorId="61E75084" wp14:editId="0208B7B7">
            <wp:extent cx="5425440" cy="2312670"/>
            <wp:effectExtent l="0" t="0" r="381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807E3" w:rsidRPr="009123A0" w:rsidRDefault="001807E3" w:rsidP="001807E3">
      <w:pPr>
        <w:rPr>
          <w:rFonts w:ascii="Arial" w:hAnsi="Arial" w:cs="Arial"/>
          <w:b/>
        </w:rPr>
      </w:pPr>
      <w:r w:rsidRPr="009123A0">
        <w:rPr>
          <w:rFonts w:ascii="Arial" w:hAnsi="Arial" w:cs="Arial"/>
          <w:b/>
        </w:rPr>
        <w:t xml:space="preserve">Gender Pay Gap GHFT </w:t>
      </w:r>
      <w:r w:rsidRPr="009123A0">
        <w:rPr>
          <w:rFonts w:ascii="Arial" w:hAnsi="Arial" w:cs="Arial"/>
          <w:b/>
          <w:u w:val="single"/>
        </w:rPr>
        <w:t>excluding</w:t>
      </w:r>
      <w:r w:rsidRPr="009123A0">
        <w:rPr>
          <w:rFonts w:ascii="Arial" w:hAnsi="Arial" w:cs="Arial"/>
          <w:b/>
        </w:rPr>
        <w:t xml:space="preserve"> Medical Staff</w:t>
      </w:r>
    </w:p>
    <w:p w:rsidR="009E6580" w:rsidRPr="009123A0" w:rsidRDefault="009E6580" w:rsidP="009E6580">
      <w:pPr>
        <w:rPr>
          <w:rFonts w:ascii="Arial" w:hAnsi="Arial" w:cs="Arial"/>
        </w:rPr>
      </w:pPr>
      <w:r w:rsidRPr="009123A0">
        <w:rPr>
          <w:rFonts w:ascii="Arial" w:hAnsi="Arial" w:cs="Arial"/>
        </w:rPr>
        <w:t>When removing Medical Staff from the equation, GHFT has an even higher percentage of females than males in its workforce – of the 6560 staff counted as part of the gender pay gap reporting, 86% were female (from 81% when Medical Staff included). The Gender Pay Gap is much smaller as an average, and reverses for the median.</w:t>
      </w:r>
    </w:p>
    <w:p w:rsidR="001807E3" w:rsidRPr="009123A0" w:rsidRDefault="009E6580" w:rsidP="00BE61C7">
      <w:pPr>
        <w:rPr>
          <w:rFonts w:ascii="Arial" w:hAnsi="Arial" w:cs="Arial"/>
          <w:noProof/>
          <w:lang w:eastAsia="en-GB"/>
        </w:rPr>
      </w:pPr>
      <w:r w:rsidRPr="009123A0">
        <w:rPr>
          <w:rFonts w:ascii="Arial" w:hAnsi="Arial" w:cs="Arial"/>
          <w:noProof/>
          <w:lang w:eastAsia="en-GB"/>
        </w:rPr>
        <w:drawing>
          <wp:inline distT="0" distB="0" distL="0" distR="0" wp14:anchorId="237CA034" wp14:editId="7F1AB19F">
            <wp:extent cx="2628900" cy="242697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123A0">
        <w:rPr>
          <w:rFonts w:ascii="Arial" w:hAnsi="Arial" w:cs="Arial"/>
          <w:noProof/>
          <w:lang w:eastAsia="en-GB"/>
        </w:rPr>
        <w:t xml:space="preserve"> </w:t>
      </w:r>
      <w:r w:rsidR="00181063" w:rsidRPr="009123A0">
        <w:rPr>
          <w:rFonts w:ascii="Arial" w:hAnsi="Arial" w:cs="Arial"/>
          <w:noProof/>
          <w:lang w:eastAsia="en-GB"/>
        </w:rPr>
        <w:drawing>
          <wp:inline distT="0" distB="0" distL="0" distR="0" wp14:anchorId="3E1D2396" wp14:editId="7EEB10DF">
            <wp:extent cx="2628900" cy="242697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81063" w:rsidRPr="009123A0" w:rsidRDefault="00181063" w:rsidP="00181063">
      <w:pPr>
        <w:rPr>
          <w:rFonts w:ascii="Arial" w:hAnsi="Arial" w:cs="Arial"/>
        </w:rPr>
      </w:pPr>
      <w:r w:rsidRPr="009123A0">
        <w:rPr>
          <w:rFonts w:ascii="Arial" w:hAnsi="Arial" w:cs="Arial"/>
        </w:rPr>
        <w:t xml:space="preserve">The above charts show that the mean hourly pay for males is £0.61 higher than that of females, a gender pay gap of 3.9%. </w:t>
      </w:r>
    </w:p>
    <w:p w:rsidR="00181063" w:rsidRPr="009123A0" w:rsidRDefault="00181063" w:rsidP="00181063">
      <w:pPr>
        <w:rPr>
          <w:rFonts w:ascii="Arial" w:hAnsi="Arial" w:cs="Arial"/>
        </w:rPr>
      </w:pPr>
      <w:r w:rsidRPr="009123A0">
        <w:rPr>
          <w:rFonts w:ascii="Arial" w:hAnsi="Arial" w:cs="Arial"/>
        </w:rPr>
        <w:t xml:space="preserve">They also show that median pay for males is £0.56 lower than females, a gender pay gap of </w:t>
      </w:r>
      <w:r w:rsidRPr="00A26E5C">
        <w:rPr>
          <w:rFonts w:ascii="Arial" w:hAnsi="Arial" w:cs="Arial"/>
        </w:rPr>
        <w:t xml:space="preserve">-4% . </w:t>
      </w:r>
    </w:p>
    <w:p w:rsidR="00181063" w:rsidRPr="009123A0" w:rsidRDefault="00181063" w:rsidP="00181063">
      <w:pPr>
        <w:rPr>
          <w:rFonts w:ascii="Arial" w:hAnsi="Arial" w:cs="Arial"/>
        </w:rPr>
        <w:sectPr w:rsidR="00181063" w:rsidRPr="009123A0" w:rsidSect="00181063">
          <w:type w:val="continuous"/>
          <w:pgSz w:w="11906" w:h="16838"/>
          <w:pgMar w:top="1440" w:right="1440" w:bottom="1440" w:left="1440" w:header="708" w:footer="708" w:gutter="0"/>
          <w:cols w:space="708"/>
          <w:docGrid w:linePitch="360"/>
        </w:sectPr>
      </w:pPr>
    </w:p>
    <w:p w:rsidR="00181063" w:rsidRPr="009123A0" w:rsidRDefault="00181063" w:rsidP="00181063">
      <w:pPr>
        <w:rPr>
          <w:rFonts w:ascii="Arial" w:hAnsi="Arial" w:cs="Arial"/>
        </w:rPr>
      </w:pPr>
      <w:r w:rsidRPr="009123A0">
        <w:rPr>
          <w:rFonts w:ascii="Arial" w:hAnsi="Arial" w:cs="Arial"/>
        </w:rPr>
        <w:lastRenderedPageBreak/>
        <w:t xml:space="preserve">The quartile split also looks very different, however males are again in a higher proportion in the Upper Quartile, </w:t>
      </w:r>
      <w:r w:rsidR="0017167E">
        <w:rPr>
          <w:rFonts w:ascii="Arial" w:hAnsi="Arial" w:cs="Arial"/>
        </w:rPr>
        <w:t>however</w:t>
      </w:r>
      <w:r w:rsidRPr="009123A0">
        <w:rPr>
          <w:rFonts w:ascii="Arial" w:hAnsi="Arial" w:cs="Arial"/>
        </w:rPr>
        <w:t xml:space="preserve"> the margin is smaller.</w:t>
      </w:r>
    </w:p>
    <w:p w:rsidR="00181063" w:rsidRPr="009123A0" w:rsidRDefault="00181063" w:rsidP="00181063">
      <w:pPr>
        <w:rPr>
          <w:rFonts w:ascii="Arial" w:hAnsi="Arial" w:cs="Arial"/>
        </w:rPr>
      </w:pPr>
      <w:r w:rsidRPr="009123A0">
        <w:rPr>
          <w:rFonts w:ascii="Arial" w:hAnsi="Arial" w:cs="Arial"/>
          <w:noProof/>
          <w:lang w:eastAsia="en-GB"/>
        </w:rPr>
        <w:lastRenderedPageBreak/>
        <w:drawing>
          <wp:inline distT="0" distB="0" distL="0" distR="0" wp14:anchorId="1AF343FC" wp14:editId="0183CF86">
            <wp:extent cx="5425440" cy="2312670"/>
            <wp:effectExtent l="0" t="0" r="381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5F6B" w:rsidRPr="009123A0" w:rsidRDefault="00BD5F6B" w:rsidP="00BD5F6B">
      <w:pPr>
        <w:rPr>
          <w:rFonts w:ascii="Arial" w:hAnsi="Arial" w:cs="Arial"/>
          <w:b/>
        </w:rPr>
      </w:pPr>
      <w:r w:rsidRPr="009123A0">
        <w:rPr>
          <w:rFonts w:ascii="Arial" w:hAnsi="Arial" w:cs="Arial"/>
          <w:b/>
        </w:rPr>
        <w:t xml:space="preserve">Gender Pay Gap </w:t>
      </w:r>
      <w:r w:rsidR="0059166E" w:rsidRPr="009123A0">
        <w:rPr>
          <w:rFonts w:ascii="Arial" w:hAnsi="Arial" w:cs="Arial"/>
          <w:b/>
        </w:rPr>
        <w:t>GHFT Medical</w:t>
      </w:r>
      <w:r w:rsidRPr="009123A0">
        <w:rPr>
          <w:rFonts w:ascii="Arial" w:hAnsi="Arial" w:cs="Arial"/>
          <w:b/>
        </w:rPr>
        <w:t xml:space="preserve"> Staff Only</w:t>
      </w:r>
    </w:p>
    <w:p w:rsidR="0020568D" w:rsidRPr="009123A0" w:rsidRDefault="0020568D" w:rsidP="0020568D">
      <w:pPr>
        <w:rPr>
          <w:rFonts w:ascii="Arial" w:hAnsi="Arial" w:cs="Arial"/>
        </w:rPr>
      </w:pPr>
      <w:r w:rsidRPr="009123A0">
        <w:rPr>
          <w:rFonts w:ascii="Arial" w:hAnsi="Arial" w:cs="Arial"/>
        </w:rPr>
        <w:t xml:space="preserve">When including only Medical Staff, GHFT still has a higher percentage of females than males overall in its workforce, but the difference isn’t so great. Of the 1379 Medical staff counted as part of the gender pay gap reporting Including GPT), 55% were female (from 81% when non-Medical Staff included). </w:t>
      </w:r>
      <w:r w:rsidR="0059166E" w:rsidRPr="009123A0">
        <w:rPr>
          <w:rFonts w:ascii="Arial" w:hAnsi="Arial" w:cs="Arial"/>
        </w:rPr>
        <w:t>This situation reverses when only Senior Medical staff are calculated – female staff comprise 37.7% of that group (183/486), and only 22.4% of the upper quartile.</w:t>
      </w:r>
      <w:r w:rsidRPr="009123A0">
        <w:rPr>
          <w:rFonts w:ascii="Arial" w:hAnsi="Arial" w:cs="Arial"/>
        </w:rPr>
        <w:t xml:space="preserve"> </w:t>
      </w:r>
    </w:p>
    <w:p w:rsidR="0059166E" w:rsidRPr="009123A0" w:rsidRDefault="0059166E">
      <w:pPr>
        <w:rPr>
          <w:rFonts w:ascii="Arial" w:hAnsi="Arial" w:cs="Arial"/>
          <w:noProof/>
          <w:lang w:eastAsia="en-GB"/>
        </w:rPr>
      </w:pPr>
      <w:r w:rsidRPr="009123A0">
        <w:rPr>
          <w:rFonts w:ascii="Arial" w:hAnsi="Arial" w:cs="Arial"/>
          <w:noProof/>
          <w:lang w:eastAsia="en-GB"/>
        </w:rPr>
        <w:drawing>
          <wp:inline distT="0" distB="0" distL="0" distR="0" wp14:anchorId="38BD0B44" wp14:editId="47660366">
            <wp:extent cx="2628900" cy="242697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9123A0">
        <w:rPr>
          <w:rFonts w:ascii="Arial" w:hAnsi="Arial" w:cs="Arial"/>
          <w:noProof/>
          <w:lang w:eastAsia="en-GB"/>
        </w:rPr>
        <w:t xml:space="preserve"> </w:t>
      </w:r>
      <w:r w:rsidRPr="009123A0">
        <w:rPr>
          <w:rFonts w:ascii="Arial" w:hAnsi="Arial" w:cs="Arial"/>
          <w:noProof/>
          <w:lang w:eastAsia="en-GB"/>
        </w:rPr>
        <w:drawing>
          <wp:inline distT="0" distB="0" distL="0" distR="0" wp14:anchorId="2F9D413D" wp14:editId="3EDC8B31">
            <wp:extent cx="2628900" cy="242697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3F67" w:rsidRPr="009123A0" w:rsidRDefault="0059166E">
      <w:pPr>
        <w:rPr>
          <w:rFonts w:ascii="Arial" w:hAnsi="Arial" w:cs="Arial"/>
          <w:b/>
        </w:rPr>
      </w:pPr>
      <w:r w:rsidRPr="009123A0">
        <w:rPr>
          <w:rFonts w:ascii="Arial" w:hAnsi="Arial" w:cs="Arial"/>
          <w:noProof/>
          <w:lang w:eastAsia="en-GB"/>
        </w:rPr>
        <w:lastRenderedPageBreak/>
        <w:drawing>
          <wp:inline distT="0" distB="0" distL="0" distR="0" wp14:anchorId="2DD49BF6" wp14:editId="506FF8F1">
            <wp:extent cx="5425440" cy="2312670"/>
            <wp:effectExtent l="0" t="0" r="381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F3F67" w:rsidRPr="009123A0" w:rsidRDefault="005F3F67" w:rsidP="005F3F67">
      <w:pPr>
        <w:rPr>
          <w:rFonts w:ascii="Arial" w:hAnsi="Arial" w:cs="Arial"/>
        </w:rPr>
      </w:pPr>
      <w:r w:rsidRPr="009123A0">
        <w:rPr>
          <w:rFonts w:ascii="Arial" w:hAnsi="Arial" w:cs="Arial"/>
        </w:rPr>
        <w:t>The above charts show that the mean hourly pay for males is £</w:t>
      </w:r>
      <w:r w:rsidR="00E81172" w:rsidRPr="009123A0">
        <w:rPr>
          <w:rFonts w:ascii="Arial" w:hAnsi="Arial" w:cs="Arial"/>
        </w:rPr>
        <w:t>6.30</w:t>
      </w:r>
      <w:r w:rsidRPr="009123A0">
        <w:rPr>
          <w:rFonts w:ascii="Arial" w:hAnsi="Arial" w:cs="Arial"/>
        </w:rPr>
        <w:t xml:space="preserve"> higher than that of </w:t>
      </w:r>
      <w:r w:rsidR="00E81172" w:rsidRPr="009123A0">
        <w:rPr>
          <w:rFonts w:ascii="Arial" w:hAnsi="Arial" w:cs="Arial"/>
        </w:rPr>
        <w:t>females, a gender pay gap of 18.3</w:t>
      </w:r>
      <w:r w:rsidRPr="009123A0">
        <w:rPr>
          <w:rFonts w:ascii="Arial" w:hAnsi="Arial" w:cs="Arial"/>
        </w:rPr>
        <w:t xml:space="preserve">%. </w:t>
      </w:r>
    </w:p>
    <w:p w:rsidR="005F3F67" w:rsidRPr="009123A0" w:rsidRDefault="005F3F67" w:rsidP="005F3F67">
      <w:pPr>
        <w:rPr>
          <w:rFonts w:ascii="Arial" w:hAnsi="Arial" w:cs="Arial"/>
        </w:rPr>
      </w:pPr>
      <w:r w:rsidRPr="009123A0">
        <w:rPr>
          <w:rFonts w:ascii="Arial" w:hAnsi="Arial" w:cs="Arial"/>
        </w:rPr>
        <w:t>They also show t</w:t>
      </w:r>
      <w:r w:rsidR="00E81172" w:rsidRPr="009123A0">
        <w:rPr>
          <w:rFonts w:ascii="Arial" w:hAnsi="Arial" w:cs="Arial"/>
        </w:rPr>
        <w:t>hat median pay for males is £3.1</w:t>
      </w:r>
      <w:r w:rsidRPr="009123A0">
        <w:rPr>
          <w:rFonts w:ascii="Arial" w:hAnsi="Arial" w:cs="Arial"/>
        </w:rPr>
        <w:t xml:space="preserve">0 higher than females, a gender </w:t>
      </w:r>
      <w:r w:rsidR="00E81172" w:rsidRPr="009123A0">
        <w:rPr>
          <w:rFonts w:ascii="Arial" w:hAnsi="Arial" w:cs="Arial"/>
        </w:rPr>
        <w:t>pay gap of  10.6</w:t>
      </w:r>
      <w:r w:rsidRPr="009123A0">
        <w:rPr>
          <w:rFonts w:ascii="Arial" w:hAnsi="Arial" w:cs="Arial"/>
        </w:rPr>
        <w:t xml:space="preserve">% . </w:t>
      </w:r>
    </w:p>
    <w:p w:rsidR="005F3F67" w:rsidRPr="009123A0" w:rsidRDefault="005F3F67" w:rsidP="005F3F67">
      <w:pPr>
        <w:rPr>
          <w:rFonts w:ascii="Arial" w:hAnsi="Arial" w:cs="Arial"/>
        </w:rPr>
        <w:sectPr w:rsidR="005F3F67" w:rsidRPr="009123A0" w:rsidSect="00181063">
          <w:type w:val="continuous"/>
          <w:pgSz w:w="11906" w:h="16838"/>
          <w:pgMar w:top="1440" w:right="1440" w:bottom="1440" w:left="1440" w:header="708" w:footer="708" w:gutter="0"/>
          <w:cols w:space="708"/>
          <w:docGrid w:linePitch="360"/>
        </w:sectPr>
      </w:pPr>
    </w:p>
    <w:p w:rsidR="007D5272" w:rsidRDefault="005F3F67">
      <w:pPr>
        <w:rPr>
          <w:rFonts w:ascii="Arial" w:hAnsi="Arial" w:cs="Arial"/>
        </w:rPr>
      </w:pPr>
      <w:r w:rsidRPr="009123A0">
        <w:rPr>
          <w:rFonts w:ascii="Arial" w:hAnsi="Arial" w:cs="Arial"/>
        </w:rPr>
        <w:lastRenderedPageBreak/>
        <w:t>The quartile split shows that the lower quartile is 64% female, while in the upper quartile this is completely reversed and 65.5% are male.</w:t>
      </w:r>
    </w:p>
    <w:p w:rsidR="007D5272" w:rsidRDefault="007D5272" w:rsidP="00AE473C">
      <w:pPr>
        <w:rPr>
          <w:rFonts w:ascii="Arial" w:hAnsi="Arial" w:cs="Arial"/>
          <w:b/>
        </w:rPr>
      </w:pPr>
    </w:p>
    <w:p w:rsidR="00AE473C" w:rsidRPr="009123A0" w:rsidRDefault="00AE473C" w:rsidP="00AE473C">
      <w:pPr>
        <w:rPr>
          <w:rFonts w:ascii="Arial" w:hAnsi="Arial" w:cs="Arial"/>
          <w:b/>
        </w:rPr>
      </w:pPr>
      <w:r w:rsidRPr="009123A0">
        <w:rPr>
          <w:rFonts w:ascii="Arial" w:hAnsi="Arial" w:cs="Arial"/>
          <w:b/>
        </w:rPr>
        <w:t>Gender Pay Gap GHFT Senior Medical Staff Only</w:t>
      </w:r>
    </w:p>
    <w:p w:rsidR="00AE473C" w:rsidRPr="009123A0" w:rsidRDefault="00E81172" w:rsidP="00BE61C7">
      <w:pPr>
        <w:rPr>
          <w:rFonts w:ascii="Arial" w:hAnsi="Arial" w:cs="Arial"/>
        </w:rPr>
      </w:pPr>
      <w:r w:rsidRPr="009123A0">
        <w:rPr>
          <w:rFonts w:ascii="Arial" w:hAnsi="Arial" w:cs="Arial"/>
        </w:rPr>
        <w:t>486 (</w:t>
      </w:r>
      <w:r w:rsidR="00AE473C" w:rsidRPr="009123A0">
        <w:rPr>
          <w:rFonts w:ascii="Arial" w:hAnsi="Arial" w:cs="Arial"/>
        </w:rPr>
        <w:t>35%</w:t>
      </w:r>
      <w:r w:rsidRPr="009123A0">
        <w:rPr>
          <w:rFonts w:ascii="Arial" w:hAnsi="Arial" w:cs="Arial"/>
        </w:rPr>
        <w:t>)</w:t>
      </w:r>
      <w:r w:rsidR="00AE473C" w:rsidRPr="009123A0">
        <w:rPr>
          <w:rFonts w:ascii="Arial" w:hAnsi="Arial" w:cs="Arial"/>
        </w:rPr>
        <w:t xml:space="preserve"> of the Medical workforce are ‘Senior’. This group includes Consultants, Associate Specialists, Clinical Assistants, Hospital Practitioners and Specialty Doctors. </w:t>
      </w:r>
      <w:r w:rsidRPr="009123A0">
        <w:rPr>
          <w:rFonts w:ascii="Arial" w:hAnsi="Arial" w:cs="Arial"/>
        </w:rPr>
        <w:t>It is</w:t>
      </w:r>
      <w:r w:rsidR="00AE473C" w:rsidRPr="009123A0">
        <w:rPr>
          <w:rFonts w:ascii="Arial" w:hAnsi="Arial" w:cs="Arial"/>
        </w:rPr>
        <w:t xml:space="preserve"> the highest paid group of staff in GHFT (excepting VSMs).</w:t>
      </w:r>
      <w:r w:rsidRPr="009123A0">
        <w:rPr>
          <w:rFonts w:ascii="Arial" w:hAnsi="Arial" w:cs="Arial"/>
        </w:rPr>
        <w:t xml:space="preserve"> 37.7% of these staff are female.</w:t>
      </w:r>
    </w:p>
    <w:p w:rsidR="00E81172" w:rsidRPr="009123A0" w:rsidRDefault="00E81172" w:rsidP="00BE61C7">
      <w:pPr>
        <w:rPr>
          <w:rFonts w:ascii="Arial" w:hAnsi="Arial" w:cs="Arial"/>
        </w:rPr>
      </w:pPr>
      <w:r w:rsidRPr="009123A0">
        <w:rPr>
          <w:rFonts w:ascii="Arial" w:hAnsi="Arial" w:cs="Arial"/>
          <w:noProof/>
          <w:lang w:eastAsia="en-GB"/>
        </w:rPr>
        <w:drawing>
          <wp:inline distT="0" distB="0" distL="0" distR="0" wp14:anchorId="72AE27D0" wp14:editId="1E3A56D8">
            <wp:extent cx="2628900" cy="242697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9123A0">
        <w:rPr>
          <w:rFonts w:ascii="Arial" w:hAnsi="Arial" w:cs="Arial"/>
          <w:noProof/>
          <w:lang w:eastAsia="en-GB"/>
        </w:rPr>
        <w:t xml:space="preserve"> </w:t>
      </w:r>
      <w:r w:rsidRPr="009123A0">
        <w:rPr>
          <w:rFonts w:ascii="Arial" w:hAnsi="Arial" w:cs="Arial"/>
          <w:noProof/>
          <w:lang w:eastAsia="en-GB"/>
        </w:rPr>
        <w:drawing>
          <wp:inline distT="0" distB="0" distL="0" distR="0" wp14:anchorId="3F224EBF" wp14:editId="2233CAA8">
            <wp:extent cx="2628900" cy="242697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81172" w:rsidRPr="009123A0" w:rsidRDefault="00643F66" w:rsidP="00BE61C7">
      <w:pPr>
        <w:rPr>
          <w:rFonts w:ascii="Arial" w:hAnsi="Arial" w:cs="Arial"/>
        </w:rPr>
      </w:pPr>
      <w:r w:rsidRPr="009123A0">
        <w:rPr>
          <w:rFonts w:ascii="Arial" w:hAnsi="Arial" w:cs="Arial"/>
          <w:noProof/>
          <w:lang w:eastAsia="en-GB"/>
        </w:rPr>
        <w:lastRenderedPageBreak/>
        <w:drawing>
          <wp:inline distT="0" distB="0" distL="0" distR="0" wp14:anchorId="37F25DA2" wp14:editId="67FED815">
            <wp:extent cx="5425440" cy="2312670"/>
            <wp:effectExtent l="0" t="0" r="381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43F66" w:rsidRPr="009123A0" w:rsidRDefault="00643F66" w:rsidP="00643F66">
      <w:pPr>
        <w:rPr>
          <w:rFonts w:ascii="Arial" w:hAnsi="Arial" w:cs="Arial"/>
        </w:rPr>
      </w:pPr>
      <w:r w:rsidRPr="009123A0">
        <w:rPr>
          <w:rFonts w:ascii="Arial" w:hAnsi="Arial" w:cs="Arial"/>
        </w:rPr>
        <w:t xml:space="preserve">The above charts show that the mean hourly pay for males is £2.00 higher than that of females, a gender pay gap of 4.4%. </w:t>
      </w:r>
    </w:p>
    <w:p w:rsidR="00643F66" w:rsidRPr="009123A0" w:rsidRDefault="00643F66" w:rsidP="00643F66">
      <w:pPr>
        <w:rPr>
          <w:rFonts w:ascii="Arial" w:hAnsi="Arial" w:cs="Arial"/>
        </w:rPr>
      </w:pPr>
      <w:r w:rsidRPr="009123A0">
        <w:rPr>
          <w:rFonts w:ascii="Arial" w:hAnsi="Arial" w:cs="Arial"/>
        </w:rPr>
        <w:t>They also show that median pay for males is £3.30 higher tha</w:t>
      </w:r>
      <w:r w:rsidR="00DC6EE9" w:rsidRPr="009123A0">
        <w:rPr>
          <w:rFonts w:ascii="Arial" w:hAnsi="Arial" w:cs="Arial"/>
        </w:rPr>
        <w:t xml:space="preserve">n females, a gender pay gap of </w:t>
      </w:r>
      <w:r w:rsidRPr="009123A0">
        <w:rPr>
          <w:rFonts w:ascii="Arial" w:hAnsi="Arial" w:cs="Arial"/>
        </w:rPr>
        <w:t xml:space="preserve">7% . </w:t>
      </w:r>
    </w:p>
    <w:p w:rsidR="00643F66" w:rsidRPr="009123A0" w:rsidRDefault="00643F66" w:rsidP="00643F66">
      <w:pPr>
        <w:rPr>
          <w:rFonts w:ascii="Arial" w:hAnsi="Arial" w:cs="Arial"/>
        </w:rPr>
        <w:sectPr w:rsidR="00643F66" w:rsidRPr="009123A0" w:rsidSect="00181063">
          <w:type w:val="continuous"/>
          <w:pgSz w:w="11906" w:h="16838"/>
          <w:pgMar w:top="1440" w:right="1440" w:bottom="1440" w:left="1440" w:header="708" w:footer="708" w:gutter="0"/>
          <w:cols w:space="708"/>
          <w:docGrid w:linePitch="360"/>
        </w:sectPr>
      </w:pPr>
    </w:p>
    <w:p w:rsidR="00E81172" w:rsidRPr="009123A0" w:rsidRDefault="00643F66" w:rsidP="00643F66">
      <w:pPr>
        <w:rPr>
          <w:rFonts w:ascii="Arial" w:hAnsi="Arial" w:cs="Arial"/>
        </w:rPr>
      </w:pPr>
      <w:r w:rsidRPr="009123A0">
        <w:rPr>
          <w:rFonts w:ascii="Arial" w:hAnsi="Arial" w:cs="Arial"/>
        </w:rPr>
        <w:lastRenderedPageBreak/>
        <w:t xml:space="preserve">The quartile split shows that the lower quartile is 51% female, while in the upper quartile </w:t>
      </w:r>
      <w:r w:rsidR="00486D1A" w:rsidRPr="009123A0">
        <w:rPr>
          <w:rFonts w:ascii="Arial" w:hAnsi="Arial" w:cs="Arial"/>
        </w:rPr>
        <w:t>only 22.4% are female.</w:t>
      </w:r>
    </w:p>
    <w:p w:rsidR="008C5FC4" w:rsidRPr="009123A0" w:rsidRDefault="008C5FC4" w:rsidP="00BE61C7">
      <w:pPr>
        <w:rPr>
          <w:rFonts w:ascii="Arial" w:hAnsi="Arial" w:cs="Arial"/>
          <w:b/>
        </w:rPr>
      </w:pPr>
      <w:r w:rsidRPr="009123A0">
        <w:rPr>
          <w:rFonts w:ascii="Arial" w:hAnsi="Arial" w:cs="Arial"/>
          <w:b/>
        </w:rPr>
        <w:t xml:space="preserve">What does this mean? </w:t>
      </w:r>
    </w:p>
    <w:p w:rsidR="008C5FC4" w:rsidRPr="009123A0" w:rsidRDefault="008C5FC4" w:rsidP="00BE61C7">
      <w:pPr>
        <w:rPr>
          <w:rFonts w:ascii="Arial" w:hAnsi="Arial" w:cs="Arial"/>
          <w:color w:val="92D050"/>
        </w:rPr>
      </w:pPr>
      <w:r w:rsidRPr="009123A0">
        <w:rPr>
          <w:rFonts w:ascii="Arial" w:hAnsi="Arial" w:cs="Arial"/>
        </w:rPr>
        <w:t xml:space="preserve">The figure for the median pay gap is usually considered to be more representative of gender pay gap across the workforce. However </w:t>
      </w:r>
      <w:r w:rsidR="00DC6EE9" w:rsidRPr="009123A0">
        <w:rPr>
          <w:rFonts w:ascii="Arial" w:hAnsi="Arial" w:cs="Arial"/>
        </w:rPr>
        <w:t>that still does not take account of the</w:t>
      </w:r>
      <w:r w:rsidRPr="009123A0">
        <w:rPr>
          <w:rFonts w:ascii="Arial" w:hAnsi="Arial" w:cs="Arial"/>
        </w:rPr>
        <w:t xml:space="preserve"> small numbers of higher paid employees</w:t>
      </w:r>
      <w:r w:rsidR="00DC6EE9" w:rsidRPr="009123A0">
        <w:rPr>
          <w:rFonts w:ascii="Arial" w:hAnsi="Arial" w:cs="Arial"/>
        </w:rPr>
        <w:t xml:space="preserve"> (Senior Medical staff)</w:t>
      </w:r>
      <w:r w:rsidRPr="009123A0">
        <w:rPr>
          <w:rFonts w:ascii="Arial" w:hAnsi="Arial" w:cs="Arial"/>
        </w:rPr>
        <w:t xml:space="preserve"> that </w:t>
      </w:r>
      <w:r w:rsidR="00DC6EE9" w:rsidRPr="009123A0">
        <w:rPr>
          <w:rFonts w:ascii="Arial" w:hAnsi="Arial" w:cs="Arial"/>
        </w:rPr>
        <w:t>are skewing the data</w:t>
      </w:r>
      <w:r w:rsidR="00170869" w:rsidRPr="009123A0">
        <w:rPr>
          <w:rFonts w:ascii="Arial" w:hAnsi="Arial" w:cs="Arial"/>
        </w:rPr>
        <w:t xml:space="preserve"> when combined with non-medical staff</w:t>
      </w:r>
      <w:r w:rsidR="00DC6EE9" w:rsidRPr="009123A0">
        <w:rPr>
          <w:rFonts w:ascii="Arial" w:hAnsi="Arial" w:cs="Arial"/>
        </w:rPr>
        <w:t xml:space="preserve">. The effect is simply more extreme when using the mean. </w:t>
      </w:r>
    </w:p>
    <w:p w:rsidR="008C5FC4" w:rsidRDefault="00B678DB" w:rsidP="00993FC3">
      <w:pPr>
        <w:rPr>
          <w:rFonts w:ascii="Arial" w:hAnsi="Arial" w:cs="Arial"/>
        </w:rPr>
      </w:pPr>
      <w:r w:rsidRPr="009123A0">
        <w:rPr>
          <w:rFonts w:ascii="Arial" w:hAnsi="Arial" w:cs="Arial"/>
        </w:rPr>
        <w:t>T</w:t>
      </w:r>
      <w:r w:rsidR="00993FC3" w:rsidRPr="009123A0">
        <w:rPr>
          <w:rFonts w:ascii="Arial" w:hAnsi="Arial" w:cs="Arial"/>
        </w:rPr>
        <w:t>he gender composition and pay gaps in each individual band</w:t>
      </w:r>
      <w:r w:rsidRPr="009123A0">
        <w:rPr>
          <w:rFonts w:ascii="Arial" w:hAnsi="Arial" w:cs="Arial"/>
        </w:rPr>
        <w:t xml:space="preserve"> are examined below;</w:t>
      </w:r>
      <w:r w:rsidR="00993FC3" w:rsidRPr="009123A0">
        <w:rPr>
          <w:rFonts w:ascii="Arial" w:hAnsi="Arial" w:cs="Arial"/>
        </w:rPr>
        <w:t xml:space="preserve"> for ease of reference we have highlighted in green where the higher average pay is to be found (male or female cohort). </w:t>
      </w:r>
    </w:p>
    <w:p w:rsidR="007D5272" w:rsidRDefault="007D5272" w:rsidP="00993FC3">
      <w:pPr>
        <w:rPr>
          <w:rFonts w:ascii="Arial" w:hAnsi="Arial" w:cs="Arial"/>
        </w:rPr>
      </w:pPr>
    </w:p>
    <w:p w:rsidR="003937AB" w:rsidRDefault="003937AB" w:rsidP="00993FC3">
      <w:pPr>
        <w:rPr>
          <w:rFonts w:ascii="Arial" w:hAnsi="Arial" w:cs="Arial"/>
        </w:rPr>
      </w:pPr>
    </w:p>
    <w:p w:rsidR="003937AB" w:rsidRDefault="003937AB" w:rsidP="00993FC3">
      <w:pPr>
        <w:rPr>
          <w:rFonts w:ascii="Arial" w:hAnsi="Arial" w:cs="Arial"/>
        </w:rPr>
      </w:pPr>
    </w:p>
    <w:p w:rsidR="003937AB" w:rsidRDefault="003937AB" w:rsidP="00993FC3">
      <w:pPr>
        <w:rPr>
          <w:rFonts w:ascii="Arial" w:hAnsi="Arial" w:cs="Arial"/>
        </w:rPr>
      </w:pPr>
    </w:p>
    <w:p w:rsidR="003937AB" w:rsidRDefault="003937AB" w:rsidP="00993FC3">
      <w:pPr>
        <w:rPr>
          <w:rFonts w:ascii="Arial" w:hAnsi="Arial" w:cs="Arial"/>
        </w:rPr>
      </w:pPr>
    </w:p>
    <w:p w:rsidR="003937AB" w:rsidRDefault="003937AB" w:rsidP="00993FC3">
      <w:pPr>
        <w:rPr>
          <w:rFonts w:ascii="Arial" w:hAnsi="Arial" w:cs="Arial"/>
        </w:rPr>
      </w:pPr>
    </w:p>
    <w:p w:rsidR="007D5272" w:rsidRDefault="007D5272" w:rsidP="00993FC3">
      <w:pPr>
        <w:rPr>
          <w:rFonts w:ascii="Arial" w:hAnsi="Arial" w:cs="Arial"/>
        </w:rPr>
      </w:pPr>
    </w:p>
    <w:p w:rsidR="007D5272" w:rsidRPr="009123A0" w:rsidRDefault="007D5272" w:rsidP="00993FC3">
      <w:pPr>
        <w:rPr>
          <w:rFonts w:ascii="Arial" w:hAnsi="Arial" w:cs="Arial"/>
        </w:rPr>
      </w:pPr>
    </w:p>
    <w:tbl>
      <w:tblPr>
        <w:tblW w:w="8237" w:type="dxa"/>
        <w:tblInd w:w="93" w:type="dxa"/>
        <w:tblLook w:val="04A0" w:firstRow="1" w:lastRow="0" w:firstColumn="1" w:lastColumn="0" w:noHBand="0" w:noVBand="1"/>
      </w:tblPr>
      <w:tblGrid>
        <w:gridCol w:w="2324"/>
        <w:gridCol w:w="706"/>
        <w:gridCol w:w="975"/>
        <w:gridCol w:w="1085"/>
        <w:gridCol w:w="1085"/>
        <w:gridCol w:w="1331"/>
        <w:gridCol w:w="1205"/>
      </w:tblGrid>
      <w:tr w:rsidR="00692F00" w:rsidRPr="009123A0" w:rsidTr="00692F00">
        <w:trPr>
          <w:trHeight w:val="1452"/>
        </w:trPr>
        <w:tc>
          <w:tcPr>
            <w:tcW w:w="23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92F00" w:rsidRPr="009123A0" w:rsidRDefault="00692F00" w:rsidP="00692F00">
            <w:pPr>
              <w:spacing w:after="0" w:line="240" w:lineRule="auto"/>
              <w:rPr>
                <w:rFonts w:ascii="Arial" w:eastAsia="Times New Roman" w:hAnsi="Arial" w:cs="Arial"/>
                <w:b/>
                <w:bCs/>
                <w:color w:val="000000"/>
                <w:lang w:eastAsia="en-GB"/>
              </w:rPr>
            </w:pPr>
            <w:r w:rsidRPr="009123A0">
              <w:rPr>
                <w:rFonts w:ascii="Arial" w:eastAsia="Times New Roman" w:hAnsi="Arial" w:cs="Arial"/>
                <w:b/>
                <w:bCs/>
                <w:color w:val="000000"/>
                <w:lang w:eastAsia="en-GB"/>
              </w:rPr>
              <w:lastRenderedPageBreak/>
              <w:t>Grade</w:t>
            </w:r>
          </w:p>
        </w:tc>
        <w:tc>
          <w:tcPr>
            <w:tcW w:w="682" w:type="dxa"/>
            <w:tcBorders>
              <w:top w:val="single" w:sz="8" w:space="0" w:color="auto"/>
              <w:left w:val="nil"/>
              <w:bottom w:val="single" w:sz="8" w:space="0" w:color="auto"/>
              <w:right w:val="single" w:sz="8" w:space="0" w:color="auto"/>
            </w:tcBorders>
            <w:shd w:val="clear" w:color="auto" w:fill="auto"/>
            <w:vAlign w:val="center"/>
            <w:hideMark/>
          </w:tcPr>
          <w:p w:rsidR="00692F00" w:rsidRPr="009123A0" w:rsidRDefault="00692F00" w:rsidP="00692F00">
            <w:pPr>
              <w:spacing w:after="0" w:line="240" w:lineRule="auto"/>
              <w:rPr>
                <w:rFonts w:ascii="Arial" w:eastAsia="Times New Roman" w:hAnsi="Arial" w:cs="Arial"/>
                <w:b/>
                <w:bCs/>
                <w:color w:val="000000"/>
                <w:lang w:eastAsia="en-GB"/>
              </w:rPr>
            </w:pPr>
            <w:r w:rsidRPr="009123A0">
              <w:rPr>
                <w:rFonts w:ascii="Arial" w:eastAsia="Times New Roman" w:hAnsi="Arial" w:cs="Arial"/>
                <w:b/>
                <w:bCs/>
                <w:color w:val="000000"/>
                <w:lang w:eastAsia="en-GB"/>
              </w:rPr>
              <w:t>No. of Male Staff</w:t>
            </w:r>
          </w:p>
        </w:tc>
        <w:tc>
          <w:tcPr>
            <w:tcW w:w="881" w:type="dxa"/>
            <w:tcBorders>
              <w:top w:val="single" w:sz="8" w:space="0" w:color="auto"/>
              <w:left w:val="nil"/>
              <w:bottom w:val="single" w:sz="8" w:space="0" w:color="auto"/>
              <w:right w:val="single" w:sz="8" w:space="0" w:color="auto"/>
            </w:tcBorders>
            <w:shd w:val="clear" w:color="auto" w:fill="auto"/>
            <w:vAlign w:val="center"/>
            <w:hideMark/>
          </w:tcPr>
          <w:p w:rsidR="00692F00" w:rsidRPr="009123A0" w:rsidRDefault="00692F00" w:rsidP="00692F00">
            <w:pPr>
              <w:spacing w:after="0" w:line="240" w:lineRule="auto"/>
              <w:rPr>
                <w:rFonts w:ascii="Arial" w:eastAsia="Times New Roman" w:hAnsi="Arial" w:cs="Arial"/>
                <w:b/>
                <w:bCs/>
                <w:color w:val="000000"/>
                <w:lang w:eastAsia="en-GB"/>
              </w:rPr>
            </w:pPr>
            <w:r w:rsidRPr="009123A0">
              <w:rPr>
                <w:rFonts w:ascii="Arial" w:eastAsia="Times New Roman" w:hAnsi="Arial" w:cs="Arial"/>
                <w:b/>
                <w:bCs/>
                <w:color w:val="000000"/>
                <w:lang w:eastAsia="en-GB"/>
              </w:rPr>
              <w:t>No. of Female Staff</w:t>
            </w:r>
          </w:p>
        </w:tc>
        <w:tc>
          <w:tcPr>
            <w:tcW w:w="967" w:type="dxa"/>
            <w:tcBorders>
              <w:top w:val="single" w:sz="8" w:space="0" w:color="auto"/>
              <w:left w:val="nil"/>
              <w:bottom w:val="single" w:sz="8" w:space="0" w:color="auto"/>
              <w:right w:val="single" w:sz="8" w:space="0" w:color="auto"/>
            </w:tcBorders>
            <w:shd w:val="clear" w:color="auto" w:fill="auto"/>
            <w:vAlign w:val="center"/>
            <w:hideMark/>
          </w:tcPr>
          <w:p w:rsidR="00692F00" w:rsidRPr="009123A0" w:rsidRDefault="00692F00" w:rsidP="00692F00">
            <w:pPr>
              <w:spacing w:after="0" w:line="240" w:lineRule="auto"/>
              <w:rPr>
                <w:rFonts w:ascii="Arial" w:eastAsia="Times New Roman" w:hAnsi="Arial" w:cs="Arial"/>
                <w:b/>
                <w:bCs/>
                <w:color w:val="000000"/>
                <w:lang w:eastAsia="en-GB"/>
              </w:rPr>
            </w:pPr>
            <w:r w:rsidRPr="009123A0">
              <w:rPr>
                <w:rFonts w:ascii="Arial" w:eastAsia="Times New Roman" w:hAnsi="Arial" w:cs="Arial"/>
                <w:b/>
                <w:bCs/>
                <w:color w:val="000000"/>
                <w:lang w:eastAsia="en-GB"/>
              </w:rPr>
              <w:t>Male Average Hourly Rate*</w:t>
            </w:r>
          </w:p>
        </w:tc>
        <w:tc>
          <w:tcPr>
            <w:tcW w:w="967" w:type="dxa"/>
            <w:tcBorders>
              <w:top w:val="single" w:sz="8" w:space="0" w:color="auto"/>
              <w:left w:val="nil"/>
              <w:bottom w:val="single" w:sz="8" w:space="0" w:color="auto"/>
              <w:right w:val="single" w:sz="8" w:space="0" w:color="auto"/>
            </w:tcBorders>
            <w:shd w:val="clear" w:color="auto" w:fill="auto"/>
            <w:vAlign w:val="center"/>
            <w:hideMark/>
          </w:tcPr>
          <w:p w:rsidR="00692F00" w:rsidRPr="009123A0" w:rsidRDefault="00692F00" w:rsidP="00692F00">
            <w:pPr>
              <w:spacing w:after="0" w:line="240" w:lineRule="auto"/>
              <w:rPr>
                <w:rFonts w:ascii="Arial" w:eastAsia="Times New Roman" w:hAnsi="Arial" w:cs="Arial"/>
                <w:b/>
                <w:bCs/>
                <w:color w:val="000000"/>
                <w:lang w:eastAsia="en-GB"/>
              </w:rPr>
            </w:pPr>
            <w:r w:rsidRPr="009123A0">
              <w:rPr>
                <w:rFonts w:ascii="Arial" w:eastAsia="Times New Roman" w:hAnsi="Arial" w:cs="Arial"/>
                <w:b/>
                <w:bCs/>
                <w:color w:val="000000"/>
                <w:lang w:eastAsia="en-GB"/>
              </w:rPr>
              <w:t>Female Average Hourly Rate*</w:t>
            </w:r>
          </w:p>
        </w:tc>
        <w:tc>
          <w:tcPr>
            <w:tcW w:w="1211" w:type="dxa"/>
            <w:tcBorders>
              <w:top w:val="single" w:sz="8" w:space="0" w:color="auto"/>
              <w:left w:val="nil"/>
              <w:bottom w:val="single" w:sz="8" w:space="0" w:color="auto"/>
              <w:right w:val="single" w:sz="8" w:space="0" w:color="auto"/>
            </w:tcBorders>
            <w:shd w:val="clear" w:color="auto" w:fill="auto"/>
            <w:vAlign w:val="center"/>
            <w:hideMark/>
          </w:tcPr>
          <w:p w:rsidR="00692F00" w:rsidRPr="009123A0" w:rsidRDefault="00692F00" w:rsidP="00692F00">
            <w:pPr>
              <w:spacing w:after="0" w:line="240" w:lineRule="auto"/>
              <w:rPr>
                <w:rFonts w:ascii="Arial" w:eastAsia="Times New Roman" w:hAnsi="Arial" w:cs="Arial"/>
                <w:b/>
                <w:bCs/>
                <w:color w:val="000000"/>
                <w:lang w:eastAsia="en-GB"/>
              </w:rPr>
            </w:pPr>
            <w:r w:rsidRPr="009123A0">
              <w:rPr>
                <w:rFonts w:ascii="Arial" w:eastAsia="Times New Roman" w:hAnsi="Arial" w:cs="Arial"/>
                <w:b/>
                <w:bCs/>
                <w:color w:val="000000"/>
                <w:lang w:eastAsia="en-GB"/>
              </w:rPr>
              <w:t>Difference</w:t>
            </w:r>
            <w:r w:rsidRPr="009123A0">
              <w:rPr>
                <w:rFonts w:ascii="Arial" w:eastAsia="Times New Roman" w:hAnsi="Arial" w:cs="Arial"/>
                <w:b/>
                <w:bCs/>
                <w:color w:val="000000"/>
                <w:vertAlign w:val="superscript"/>
                <w:lang w:eastAsia="en-GB"/>
              </w:rPr>
              <w:t>Ɨ</w:t>
            </w:r>
          </w:p>
        </w:tc>
        <w:tc>
          <w:tcPr>
            <w:tcW w:w="1205" w:type="dxa"/>
            <w:tcBorders>
              <w:top w:val="single" w:sz="8" w:space="0" w:color="auto"/>
              <w:left w:val="nil"/>
              <w:bottom w:val="single" w:sz="8" w:space="0" w:color="auto"/>
              <w:right w:val="single" w:sz="8" w:space="0" w:color="auto"/>
            </w:tcBorders>
            <w:shd w:val="clear" w:color="auto" w:fill="auto"/>
            <w:vAlign w:val="center"/>
            <w:hideMark/>
          </w:tcPr>
          <w:p w:rsidR="00692F00" w:rsidRPr="009123A0" w:rsidRDefault="00692F00" w:rsidP="00692F00">
            <w:pPr>
              <w:spacing w:after="0" w:line="240" w:lineRule="auto"/>
              <w:rPr>
                <w:rFonts w:ascii="Arial" w:eastAsia="Times New Roman" w:hAnsi="Arial" w:cs="Arial"/>
                <w:b/>
                <w:bCs/>
                <w:color w:val="000000"/>
                <w:lang w:eastAsia="en-GB"/>
              </w:rPr>
            </w:pPr>
            <w:r w:rsidRPr="009123A0">
              <w:rPr>
                <w:rFonts w:ascii="Arial" w:eastAsia="Times New Roman" w:hAnsi="Arial" w:cs="Arial"/>
                <w:b/>
                <w:bCs/>
                <w:color w:val="000000"/>
                <w:lang w:eastAsia="en-GB"/>
              </w:rPr>
              <w:t>Gap</w:t>
            </w:r>
            <w:r w:rsidRPr="009123A0">
              <w:rPr>
                <w:rFonts w:ascii="Arial" w:eastAsia="Times New Roman" w:hAnsi="Arial" w:cs="Arial"/>
                <w:b/>
                <w:bCs/>
                <w:color w:val="000000"/>
                <w:vertAlign w:val="superscript"/>
                <w:lang w:eastAsia="en-GB"/>
              </w:rPr>
              <w:t>Ɨ</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Apprentice</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6</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33</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£5.86</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£5.52</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£0.34</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5.82%</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1</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6</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15</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£9.52</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£9.40</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£0.12</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1.26%</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2</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217</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1217</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£10.43</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£10.52</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-£0.09</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FF0000"/>
                <w:lang w:eastAsia="en-GB"/>
              </w:rPr>
            </w:pPr>
            <w:r w:rsidRPr="009123A0">
              <w:rPr>
                <w:rFonts w:ascii="Arial" w:eastAsia="Times New Roman" w:hAnsi="Arial" w:cs="Arial"/>
                <w:color w:val="FF0000"/>
                <w:lang w:eastAsia="en-GB"/>
              </w:rPr>
              <w:t>-0.87%</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3</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74</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755</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£10.36</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£10.45</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-£0.09</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FF0000"/>
                <w:lang w:eastAsia="en-GB"/>
              </w:rPr>
            </w:pPr>
            <w:r w:rsidRPr="009123A0">
              <w:rPr>
                <w:rFonts w:ascii="Arial" w:eastAsia="Times New Roman" w:hAnsi="Arial" w:cs="Arial"/>
                <w:color w:val="FF0000"/>
                <w:lang w:eastAsia="en-GB"/>
              </w:rPr>
              <w:t>-0.86%</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4</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56</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375</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£11.46</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£11.86</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-£0.40</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FF0000"/>
                <w:lang w:eastAsia="en-GB"/>
              </w:rPr>
            </w:pPr>
            <w:r w:rsidRPr="009123A0">
              <w:rPr>
                <w:rFonts w:ascii="Arial" w:eastAsia="Times New Roman" w:hAnsi="Arial" w:cs="Arial"/>
                <w:color w:val="FF0000"/>
                <w:lang w:eastAsia="en-GB"/>
              </w:rPr>
              <w:t>-3.45%</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5</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222</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1416</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£14.65</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£15.38</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-£0.73</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FF0000"/>
                <w:lang w:eastAsia="en-GB"/>
              </w:rPr>
            </w:pPr>
            <w:r w:rsidRPr="009123A0">
              <w:rPr>
                <w:rFonts w:ascii="Arial" w:eastAsia="Times New Roman" w:hAnsi="Arial" w:cs="Arial"/>
                <w:color w:val="FF0000"/>
                <w:lang w:eastAsia="en-GB"/>
              </w:rPr>
              <w:t>-4.98%</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6</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134</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1247</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£17.84</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£18.78</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-£0.94</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FF0000"/>
                <w:lang w:eastAsia="en-GB"/>
              </w:rPr>
            </w:pPr>
            <w:r w:rsidRPr="009123A0">
              <w:rPr>
                <w:rFonts w:ascii="Arial" w:eastAsia="Times New Roman" w:hAnsi="Arial" w:cs="Arial"/>
                <w:color w:val="FF0000"/>
                <w:lang w:eastAsia="en-GB"/>
              </w:rPr>
              <w:t>-5.30%</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7</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113</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534</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£21.00</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£21.65</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-£0.65</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FF0000"/>
                <w:lang w:eastAsia="en-GB"/>
              </w:rPr>
            </w:pPr>
            <w:r w:rsidRPr="009123A0">
              <w:rPr>
                <w:rFonts w:ascii="Arial" w:eastAsia="Times New Roman" w:hAnsi="Arial" w:cs="Arial"/>
                <w:color w:val="FF0000"/>
                <w:lang w:eastAsia="en-GB"/>
              </w:rPr>
              <w:t>-3.10%</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8a</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35</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153</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£25.30</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£24.73</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£0.57</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2.27%</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8b</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22</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40</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£28.53</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£29.76</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-£1.23</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FF0000"/>
                <w:lang w:eastAsia="en-GB"/>
              </w:rPr>
            </w:pPr>
            <w:r w:rsidRPr="009123A0">
              <w:rPr>
                <w:rFonts w:ascii="Arial" w:eastAsia="Times New Roman" w:hAnsi="Arial" w:cs="Arial"/>
                <w:color w:val="FF0000"/>
                <w:lang w:eastAsia="en-GB"/>
              </w:rPr>
              <w:t>-4.32%</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8c</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14</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18</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£33.05</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£34.60</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-£1.55</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FF0000"/>
                <w:lang w:eastAsia="en-GB"/>
              </w:rPr>
            </w:pPr>
            <w:r w:rsidRPr="009123A0">
              <w:rPr>
                <w:rFonts w:ascii="Arial" w:eastAsia="Times New Roman" w:hAnsi="Arial" w:cs="Arial"/>
                <w:color w:val="FF0000"/>
                <w:lang w:eastAsia="en-GB"/>
              </w:rPr>
              <w:t>-4.68%</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8d</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11</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21</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£32.25</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£31.20</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£1.05</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3.26%</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Band 9</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5</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£53.11</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£48.29</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£4.83</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9.09%</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VSM</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7</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£66.27</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£84.31</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-£18.04</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-27.22%</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Medical - Consultant</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259</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137</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£46.50</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£44.50</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£2.00</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4.30%</w:t>
            </w:r>
          </w:p>
        </w:tc>
      </w:tr>
      <w:tr w:rsidR="00692F00" w:rsidRPr="009123A0" w:rsidTr="00692F00">
        <w:trPr>
          <w:trHeight w:val="300"/>
        </w:trPr>
        <w:tc>
          <w:tcPr>
            <w:tcW w:w="2324" w:type="dxa"/>
            <w:tcBorders>
              <w:top w:val="nil"/>
              <w:left w:val="single" w:sz="8" w:space="0" w:color="auto"/>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Medical - non Consultant</w:t>
            </w:r>
          </w:p>
        </w:tc>
        <w:tc>
          <w:tcPr>
            <w:tcW w:w="682"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371</w:t>
            </w:r>
          </w:p>
        </w:tc>
        <w:tc>
          <w:tcPr>
            <w:tcW w:w="88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616</w:t>
            </w:r>
          </w:p>
        </w:tc>
        <w:tc>
          <w:tcPr>
            <w:tcW w:w="967" w:type="dxa"/>
            <w:tcBorders>
              <w:top w:val="nil"/>
              <w:left w:val="nil"/>
              <w:bottom w:val="single" w:sz="8" w:space="0" w:color="auto"/>
              <w:right w:val="single" w:sz="8" w:space="0" w:color="auto"/>
            </w:tcBorders>
            <w:shd w:val="clear" w:color="000000" w:fill="92D050"/>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£25.35</w:t>
            </w:r>
          </w:p>
        </w:tc>
        <w:tc>
          <w:tcPr>
            <w:tcW w:w="967"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£24.12</w:t>
            </w:r>
          </w:p>
        </w:tc>
        <w:tc>
          <w:tcPr>
            <w:tcW w:w="1211"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£1.23</w:t>
            </w:r>
          </w:p>
        </w:tc>
        <w:tc>
          <w:tcPr>
            <w:tcW w:w="1205" w:type="dxa"/>
            <w:tcBorders>
              <w:top w:val="nil"/>
              <w:left w:val="nil"/>
              <w:bottom w:val="single" w:sz="8" w:space="0" w:color="auto"/>
              <w:right w:val="single" w:sz="8" w:space="0" w:color="auto"/>
            </w:tcBorders>
            <w:shd w:val="clear" w:color="auto" w:fill="auto"/>
            <w:noWrap/>
            <w:vAlign w:val="center"/>
            <w:hideMark/>
          </w:tcPr>
          <w:p w:rsidR="00692F00" w:rsidRPr="009123A0" w:rsidRDefault="00692F00" w:rsidP="00692F00">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4.85%</w:t>
            </w:r>
          </w:p>
        </w:tc>
      </w:tr>
    </w:tbl>
    <w:p w:rsidR="00692F00" w:rsidRPr="009123A0" w:rsidRDefault="00692F00" w:rsidP="00993FC3">
      <w:pPr>
        <w:rPr>
          <w:rFonts w:ascii="Arial" w:hAnsi="Arial" w:cs="Arial"/>
        </w:rPr>
      </w:pPr>
    </w:p>
    <w:p w:rsidR="004906B9" w:rsidRPr="009123A0" w:rsidRDefault="004906B9" w:rsidP="004906B9">
      <w:pPr>
        <w:rPr>
          <w:rFonts w:ascii="Arial" w:hAnsi="Arial" w:cs="Arial"/>
        </w:rPr>
      </w:pPr>
      <w:r w:rsidRPr="009123A0">
        <w:rPr>
          <w:rFonts w:ascii="Arial" w:hAnsi="Arial" w:cs="Arial"/>
          <w:b/>
        </w:rPr>
        <w:t>*</w:t>
      </w:r>
      <w:r w:rsidRPr="009123A0">
        <w:rPr>
          <w:rFonts w:ascii="Arial" w:hAnsi="Arial" w:cs="Arial"/>
        </w:rPr>
        <w:t>refers to the mean hourly rate</w:t>
      </w:r>
    </w:p>
    <w:p w:rsidR="004906B9" w:rsidRPr="009123A0" w:rsidRDefault="004906B9" w:rsidP="004906B9">
      <w:pPr>
        <w:rPr>
          <w:rFonts w:ascii="Arial" w:hAnsi="Arial" w:cs="Arial"/>
        </w:rPr>
      </w:pPr>
      <w:r w:rsidRPr="009123A0">
        <w:rPr>
          <w:rFonts w:ascii="Arial" w:hAnsi="Arial" w:cs="Arial"/>
          <w:b/>
          <w:vertAlign w:val="superscript"/>
        </w:rPr>
        <w:t>Ɨ</w:t>
      </w:r>
      <w:r w:rsidRPr="009123A0">
        <w:rPr>
          <w:rFonts w:ascii="Arial" w:hAnsi="Arial" w:cs="Arial"/>
        </w:rPr>
        <w:t>negative values mean that the difference and the gap are favourable to females</w:t>
      </w:r>
    </w:p>
    <w:p w:rsidR="00AC7F79" w:rsidRDefault="00AC7F79" w:rsidP="00AC7F79">
      <w:pPr>
        <w:autoSpaceDE w:val="0"/>
        <w:autoSpaceDN w:val="0"/>
        <w:adjustRightInd w:val="0"/>
        <w:spacing w:after="0" w:line="240" w:lineRule="auto"/>
        <w:rPr>
          <w:rFonts w:ascii="Arial" w:hAnsi="Arial" w:cs="Arial"/>
        </w:rPr>
      </w:pPr>
      <w:r w:rsidRPr="009123A0">
        <w:rPr>
          <w:rFonts w:ascii="Arial" w:hAnsi="Arial" w:cs="Arial"/>
        </w:rPr>
        <w:t xml:space="preserve">The above table shows that, on average, females earn more in most pay bands than males - the bands where males earn more </w:t>
      </w:r>
      <w:r w:rsidR="00170384" w:rsidRPr="009123A0">
        <w:rPr>
          <w:rFonts w:ascii="Arial" w:hAnsi="Arial" w:cs="Arial"/>
        </w:rPr>
        <w:t xml:space="preserve">are </w:t>
      </w:r>
      <w:r w:rsidR="00524736" w:rsidRPr="009123A0">
        <w:rPr>
          <w:rFonts w:ascii="Arial" w:hAnsi="Arial" w:cs="Arial"/>
        </w:rPr>
        <w:t>A</w:t>
      </w:r>
      <w:r w:rsidRPr="009123A0">
        <w:rPr>
          <w:rFonts w:ascii="Arial" w:hAnsi="Arial" w:cs="Arial"/>
        </w:rPr>
        <w:t>pprentice</w:t>
      </w:r>
      <w:r w:rsidR="00524736" w:rsidRPr="009123A0">
        <w:rPr>
          <w:rFonts w:ascii="Arial" w:hAnsi="Arial" w:cs="Arial"/>
        </w:rPr>
        <w:t>s</w:t>
      </w:r>
      <w:r w:rsidR="00AF3706" w:rsidRPr="009123A0">
        <w:rPr>
          <w:rFonts w:ascii="Arial" w:hAnsi="Arial" w:cs="Arial"/>
        </w:rPr>
        <w:t>;</w:t>
      </w:r>
      <w:r w:rsidRPr="009123A0">
        <w:rPr>
          <w:rFonts w:ascii="Arial" w:hAnsi="Arial" w:cs="Arial"/>
        </w:rPr>
        <w:t xml:space="preserve"> band</w:t>
      </w:r>
      <w:r w:rsidR="00363908" w:rsidRPr="009123A0">
        <w:rPr>
          <w:rFonts w:ascii="Arial" w:hAnsi="Arial" w:cs="Arial"/>
        </w:rPr>
        <w:t>s</w:t>
      </w:r>
      <w:r w:rsidRPr="009123A0">
        <w:rPr>
          <w:rFonts w:ascii="Arial" w:hAnsi="Arial" w:cs="Arial"/>
        </w:rPr>
        <w:t xml:space="preserve"> 1, 8a</w:t>
      </w:r>
      <w:r w:rsidR="00363908" w:rsidRPr="009123A0">
        <w:rPr>
          <w:rFonts w:ascii="Arial" w:hAnsi="Arial" w:cs="Arial"/>
        </w:rPr>
        <w:t xml:space="preserve">, </w:t>
      </w:r>
      <w:r w:rsidR="00170384" w:rsidRPr="009123A0">
        <w:rPr>
          <w:rFonts w:ascii="Arial" w:hAnsi="Arial" w:cs="Arial"/>
        </w:rPr>
        <w:t>8d</w:t>
      </w:r>
      <w:r w:rsidR="00F5613F" w:rsidRPr="009123A0">
        <w:rPr>
          <w:rFonts w:ascii="Arial" w:hAnsi="Arial" w:cs="Arial"/>
        </w:rPr>
        <w:t xml:space="preserve"> &amp; 9</w:t>
      </w:r>
      <w:r w:rsidR="00CE75E0" w:rsidRPr="009123A0">
        <w:rPr>
          <w:rFonts w:ascii="Arial" w:hAnsi="Arial" w:cs="Arial"/>
        </w:rPr>
        <w:t>;</w:t>
      </w:r>
      <w:r w:rsidRPr="009123A0">
        <w:rPr>
          <w:rFonts w:ascii="Arial" w:hAnsi="Arial" w:cs="Arial"/>
        </w:rPr>
        <w:t xml:space="preserve"> and medical roles (both Co</w:t>
      </w:r>
      <w:r w:rsidR="00170384" w:rsidRPr="009123A0">
        <w:rPr>
          <w:rFonts w:ascii="Arial" w:hAnsi="Arial" w:cs="Arial"/>
        </w:rPr>
        <w:t>nsultant and non Consultant).</w:t>
      </w:r>
    </w:p>
    <w:p w:rsidR="007D5272" w:rsidRDefault="007D5272" w:rsidP="00AC7F79">
      <w:pPr>
        <w:autoSpaceDE w:val="0"/>
        <w:autoSpaceDN w:val="0"/>
        <w:adjustRightInd w:val="0"/>
        <w:spacing w:after="0" w:line="240" w:lineRule="auto"/>
        <w:rPr>
          <w:rFonts w:ascii="Arial" w:hAnsi="Arial" w:cs="Arial"/>
        </w:rPr>
      </w:pPr>
    </w:p>
    <w:p w:rsidR="00524736" w:rsidRPr="009123A0" w:rsidRDefault="00AC7F79" w:rsidP="007D5272">
      <w:pPr>
        <w:tabs>
          <w:tab w:val="left" w:pos="3876"/>
        </w:tabs>
        <w:autoSpaceDE w:val="0"/>
        <w:autoSpaceDN w:val="0"/>
        <w:adjustRightInd w:val="0"/>
        <w:spacing w:after="0" w:line="240" w:lineRule="auto"/>
        <w:rPr>
          <w:rFonts w:ascii="Arial" w:hAnsi="Arial" w:cs="Arial"/>
        </w:rPr>
      </w:pPr>
      <w:r w:rsidRPr="009123A0">
        <w:rPr>
          <w:rFonts w:ascii="Arial" w:hAnsi="Arial" w:cs="Arial"/>
        </w:rPr>
        <w:t xml:space="preserve">We have also analysed the proportion of males and females across each of the above bands, and the results of this are shown in the bar chart below. </w:t>
      </w:r>
    </w:p>
    <w:p w:rsidR="00524736" w:rsidRDefault="00524736"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89289C" w:rsidRDefault="0089289C" w:rsidP="00AC7F79">
      <w:pPr>
        <w:autoSpaceDE w:val="0"/>
        <w:autoSpaceDN w:val="0"/>
        <w:adjustRightInd w:val="0"/>
        <w:spacing w:after="0" w:line="240" w:lineRule="auto"/>
        <w:rPr>
          <w:rFonts w:ascii="Arial" w:hAnsi="Arial" w:cs="Arial"/>
        </w:rPr>
      </w:pPr>
    </w:p>
    <w:p w:rsidR="00AC7F79" w:rsidRPr="009123A0" w:rsidRDefault="00AC7F79" w:rsidP="00AC7F79">
      <w:pPr>
        <w:autoSpaceDE w:val="0"/>
        <w:autoSpaceDN w:val="0"/>
        <w:adjustRightInd w:val="0"/>
        <w:spacing w:after="0" w:line="240" w:lineRule="auto"/>
        <w:rPr>
          <w:rFonts w:ascii="Arial" w:hAnsi="Arial" w:cs="Arial"/>
        </w:rPr>
      </w:pPr>
      <w:r w:rsidRPr="009123A0">
        <w:rPr>
          <w:rFonts w:ascii="Arial" w:hAnsi="Arial" w:cs="Arial"/>
        </w:rPr>
        <w:lastRenderedPageBreak/>
        <w:t xml:space="preserve">Gender split by band – based on headcount: </w:t>
      </w:r>
    </w:p>
    <w:p w:rsidR="00524736" w:rsidRPr="009123A0" w:rsidRDefault="00524736" w:rsidP="00AC7F79">
      <w:pPr>
        <w:autoSpaceDE w:val="0"/>
        <w:autoSpaceDN w:val="0"/>
        <w:adjustRightInd w:val="0"/>
        <w:spacing w:after="0" w:line="240" w:lineRule="auto"/>
        <w:rPr>
          <w:rFonts w:ascii="Arial" w:hAnsi="Arial" w:cs="Arial"/>
        </w:rPr>
      </w:pPr>
    </w:p>
    <w:p w:rsidR="00B874B4" w:rsidRPr="009123A0" w:rsidRDefault="00A908DD" w:rsidP="00524736">
      <w:pPr>
        <w:rPr>
          <w:rFonts w:ascii="Arial" w:hAnsi="Arial" w:cs="Arial"/>
          <w:b/>
        </w:rPr>
      </w:pPr>
      <w:r w:rsidRPr="009123A0">
        <w:rPr>
          <w:rFonts w:ascii="Arial" w:hAnsi="Arial" w:cs="Arial"/>
          <w:noProof/>
          <w:lang w:eastAsia="en-GB"/>
        </w:rPr>
        <w:drawing>
          <wp:inline distT="0" distB="0" distL="0" distR="0" wp14:anchorId="36B47B5D" wp14:editId="44ED818A">
            <wp:extent cx="5731510" cy="3448091"/>
            <wp:effectExtent l="0" t="0" r="2159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7F79" w:rsidRPr="009123A0" w:rsidRDefault="00AC7F79" w:rsidP="00524736">
      <w:pPr>
        <w:rPr>
          <w:rFonts w:ascii="Arial" w:hAnsi="Arial" w:cs="Arial"/>
          <w:b/>
        </w:rPr>
      </w:pPr>
      <w:r w:rsidRPr="009123A0">
        <w:rPr>
          <w:rFonts w:ascii="Arial" w:hAnsi="Arial" w:cs="Arial"/>
          <w:b/>
        </w:rPr>
        <w:t xml:space="preserve">4. Specific Focus Areas </w:t>
      </w:r>
    </w:p>
    <w:p w:rsidR="00AC7F79" w:rsidRPr="009123A0" w:rsidRDefault="00AC7F79" w:rsidP="00CC3A5E">
      <w:pPr>
        <w:rPr>
          <w:rFonts w:ascii="Arial" w:hAnsi="Arial" w:cs="Arial"/>
          <w:b/>
        </w:rPr>
      </w:pPr>
      <w:r w:rsidRPr="009123A0">
        <w:rPr>
          <w:rFonts w:ascii="Arial" w:hAnsi="Arial" w:cs="Arial"/>
          <w:b/>
        </w:rPr>
        <w:t xml:space="preserve">Medical staff </w:t>
      </w:r>
    </w:p>
    <w:p w:rsidR="00A908DD" w:rsidRPr="009123A0" w:rsidRDefault="00A908DD" w:rsidP="00CC3A5E">
      <w:pPr>
        <w:rPr>
          <w:rFonts w:ascii="Arial" w:hAnsi="Arial" w:cs="Arial"/>
        </w:rPr>
      </w:pPr>
      <w:r w:rsidRPr="009123A0">
        <w:rPr>
          <w:rFonts w:ascii="Arial" w:hAnsi="Arial" w:cs="Arial"/>
        </w:rPr>
        <w:t>The most</w:t>
      </w:r>
      <w:r w:rsidR="00AC7F79" w:rsidRPr="009123A0">
        <w:rPr>
          <w:rFonts w:ascii="Arial" w:hAnsi="Arial" w:cs="Arial"/>
        </w:rPr>
        <w:t xml:space="preserve"> significant feature of</w:t>
      </w:r>
      <w:r w:rsidR="00CC3A5E" w:rsidRPr="009123A0">
        <w:rPr>
          <w:rFonts w:ascii="Arial" w:hAnsi="Arial" w:cs="Arial"/>
        </w:rPr>
        <w:t xml:space="preserve"> the data at 31 March 20</w:t>
      </w:r>
      <w:r w:rsidRPr="009123A0">
        <w:rPr>
          <w:rFonts w:ascii="Arial" w:hAnsi="Arial" w:cs="Arial"/>
        </w:rPr>
        <w:t>20</w:t>
      </w:r>
      <w:r w:rsidR="00AC7F79" w:rsidRPr="009123A0">
        <w:rPr>
          <w:rFonts w:ascii="Arial" w:hAnsi="Arial" w:cs="Arial"/>
        </w:rPr>
        <w:t xml:space="preserve"> is that if all Medical staff ar</w:t>
      </w:r>
      <w:r w:rsidR="00CC3A5E" w:rsidRPr="009123A0">
        <w:rPr>
          <w:rFonts w:ascii="Arial" w:hAnsi="Arial" w:cs="Arial"/>
        </w:rPr>
        <w:t>e removed from the calculations</w:t>
      </w:r>
      <w:r w:rsidRPr="009123A0">
        <w:rPr>
          <w:rFonts w:ascii="Arial" w:hAnsi="Arial" w:cs="Arial"/>
        </w:rPr>
        <w:t>,</w:t>
      </w:r>
      <w:r w:rsidR="00AC7F79" w:rsidRPr="009123A0">
        <w:rPr>
          <w:rFonts w:ascii="Arial" w:hAnsi="Arial" w:cs="Arial"/>
        </w:rPr>
        <w:t xml:space="preserve"> then the </w:t>
      </w:r>
      <w:r w:rsidR="00CC3A5E" w:rsidRPr="009123A0">
        <w:rPr>
          <w:rFonts w:ascii="Arial" w:hAnsi="Arial" w:cs="Arial"/>
        </w:rPr>
        <w:t xml:space="preserve">median </w:t>
      </w:r>
      <w:r w:rsidR="00AC7F79" w:rsidRPr="009123A0">
        <w:rPr>
          <w:rFonts w:ascii="Arial" w:hAnsi="Arial" w:cs="Arial"/>
        </w:rPr>
        <w:t>gap is reversed</w:t>
      </w:r>
      <w:r w:rsidR="001E3CC2" w:rsidRPr="009123A0">
        <w:rPr>
          <w:rFonts w:ascii="Arial" w:hAnsi="Arial" w:cs="Arial"/>
        </w:rPr>
        <w:t xml:space="preserve"> and the mean is reduced to 3.9% from 28.6%.</w:t>
      </w:r>
    </w:p>
    <w:p w:rsidR="00AC7F79" w:rsidRPr="009123A0" w:rsidRDefault="00AC7F79" w:rsidP="00CC3A5E">
      <w:pPr>
        <w:rPr>
          <w:rFonts w:ascii="Arial" w:hAnsi="Arial" w:cs="Arial"/>
        </w:rPr>
      </w:pPr>
      <w:r w:rsidRPr="009123A0">
        <w:rPr>
          <w:rFonts w:ascii="Arial" w:hAnsi="Arial" w:cs="Arial"/>
        </w:rPr>
        <w:t xml:space="preserve">Medical staff group comprises a large group, from </w:t>
      </w:r>
      <w:r w:rsidR="001E3CC2" w:rsidRPr="009123A0">
        <w:rPr>
          <w:rFonts w:ascii="Arial" w:hAnsi="Arial" w:cs="Arial"/>
        </w:rPr>
        <w:t>Foundation level doctors in their first year post qualification</w:t>
      </w:r>
      <w:r w:rsidRPr="009123A0">
        <w:rPr>
          <w:rFonts w:ascii="Arial" w:hAnsi="Arial" w:cs="Arial"/>
        </w:rPr>
        <w:t xml:space="preserve"> to </w:t>
      </w:r>
      <w:r w:rsidR="001E3CC2" w:rsidRPr="009123A0">
        <w:rPr>
          <w:rFonts w:ascii="Arial" w:hAnsi="Arial" w:cs="Arial"/>
        </w:rPr>
        <w:t>Consultants.</w:t>
      </w:r>
      <w:r w:rsidRPr="009123A0">
        <w:rPr>
          <w:rFonts w:ascii="Arial" w:hAnsi="Arial" w:cs="Arial"/>
        </w:rPr>
        <w:t xml:space="preserve"> The pay gap for</w:t>
      </w:r>
      <w:r w:rsidR="00CC3A5E" w:rsidRPr="009123A0">
        <w:rPr>
          <w:rFonts w:ascii="Arial" w:hAnsi="Arial" w:cs="Arial"/>
        </w:rPr>
        <w:t xml:space="preserve"> M</w:t>
      </w:r>
      <w:r w:rsidR="00A517AC" w:rsidRPr="009123A0">
        <w:rPr>
          <w:rFonts w:ascii="Arial" w:hAnsi="Arial" w:cs="Arial"/>
        </w:rPr>
        <w:t>edical staff as a whole is 18.3</w:t>
      </w:r>
      <w:r w:rsidRPr="009123A0">
        <w:rPr>
          <w:rFonts w:ascii="Arial" w:hAnsi="Arial" w:cs="Arial"/>
        </w:rPr>
        <w:t>% - males get</w:t>
      </w:r>
      <w:r w:rsidR="00CC3A5E" w:rsidRPr="009123A0">
        <w:rPr>
          <w:rFonts w:ascii="Arial" w:hAnsi="Arial" w:cs="Arial"/>
        </w:rPr>
        <w:t xml:space="preserve"> paid on average £6.3</w:t>
      </w:r>
      <w:r w:rsidR="00A517AC" w:rsidRPr="009123A0">
        <w:rPr>
          <w:rFonts w:ascii="Arial" w:hAnsi="Arial" w:cs="Arial"/>
        </w:rPr>
        <w:t>0</w:t>
      </w:r>
      <w:r w:rsidRPr="009123A0">
        <w:rPr>
          <w:rFonts w:ascii="Arial" w:hAnsi="Arial" w:cs="Arial"/>
        </w:rPr>
        <w:t xml:space="preserve"> per hour more than females</w:t>
      </w:r>
      <w:r w:rsidR="00D64639" w:rsidRPr="009123A0">
        <w:rPr>
          <w:rFonts w:ascii="Arial" w:hAnsi="Arial" w:cs="Arial"/>
        </w:rPr>
        <w:t xml:space="preserve">. </w:t>
      </w:r>
      <w:r w:rsidRPr="009123A0">
        <w:rPr>
          <w:rFonts w:ascii="Arial" w:hAnsi="Arial" w:cs="Arial"/>
        </w:rPr>
        <w:t xml:space="preserve">We have </w:t>
      </w:r>
      <w:r w:rsidR="00A908DD" w:rsidRPr="009123A0">
        <w:rPr>
          <w:rFonts w:ascii="Arial" w:hAnsi="Arial" w:cs="Arial"/>
        </w:rPr>
        <w:t>split</w:t>
      </w:r>
      <w:r w:rsidRPr="009123A0">
        <w:rPr>
          <w:rFonts w:ascii="Arial" w:hAnsi="Arial" w:cs="Arial"/>
        </w:rPr>
        <w:t xml:space="preserve"> this large group into two separate cohorts: </w:t>
      </w:r>
      <w:r w:rsidR="00A908DD" w:rsidRPr="009123A0">
        <w:rPr>
          <w:rFonts w:ascii="Arial" w:hAnsi="Arial" w:cs="Arial"/>
        </w:rPr>
        <w:t>Senior &amp; Junior Medical Staff.</w:t>
      </w:r>
    </w:p>
    <w:p w:rsidR="00AC7F79" w:rsidRPr="009123A0" w:rsidRDefault="00EA5518" w:rsidP="00CC3A5E">
      <w:pPr>
        <w:rPr>
          <w:rFonts w:ascii="Arial" w:hAnsi="Arial" w:cs="Arial"/>
        </w:rPr>
      </w:pPr>
      <w:r w:rsidRPr="009123A0">
        <w:rPr>
          <w:rFonts w:ascii="Arial" w:hAnsi="Arial" w:cs="Arial"/>
        </w:rPr>
        <w:t>GHNHSFT</w:t>
      </w:r>
      <w:r w:rsidR="00CC3A5E" w:rsidRPr="009123A0">
        <w:rPr>
          <w:rFonts w:ascii="Arial" w:hAnsi="Arial" w:cs="Arial"/>
        </w:rPr>
        <w:t xml:space="preserve"> had </w:t>
      </w:r>
      <w:r w:rsidR="00A517AC" w:rsidRPr="009123A0">
        <w:rPr>
          <w:rFonts w:ascii="Arial" w:hAnsi="Arial" w:cs="Arial"/>
        </w:rPr>
        <w:t>486 senior Medics</w:t>
      </w:r>
      <w:r w:rsidR="00CC3A5E" w:rsidRPr="009123A0">
        <w:rPr>
          <w:rFonts w:ascii="Arial" w:hAnsi="Arial" w:cs="Arial"/>
        </w:rPr>
        <w:t xml:space="preserve"> on staff at 31 March 20</w:t>
      </w:r>
      <w:r w:rsidR="00A517AC" w:rsidRPr="009123A0">
        <w:rPr>
          <w:rFonts w:ascii="Arial" w:hAnsi="Arial" w:cs="Arial"/>
        </w:rPr>
        <w:t>20</w:t>
      </w:r>
      <w:r w:rsidR="00AC7F79" w:rsidRPr="009123A0">
        <w:rPr>
          <w:rFonts w:ascii="Arial" w:hAnsi="Arial" w:cs="Arial"/>
        </w:rPr>
        <w:t xml:space="preserve">. These individuals tend to undertake some of the </w:t>
      </w:r>
      <w:r w:rsidR="00A517AC" w:rsidRPr="009123A0">
        <w:rPr>
          <w:rFonts w:ascii="Arial" w:hAnsi="Arial" w:cs="Arial"/>
        </w:rPr>
        <w:t>highest paid roles in the Trust.</w:t>
      </w:r>
      <w:r w:rsidR="00AC7F79" w:rsidRPr="009123A0">
        <w:rPr>
          <w:rFonts w:ascii="Arial" w:hAnsi="Arial" w:cs="Arial"/>
        </w:rPr>
        <w:t xml:space="preserve"> </w:t>
      </w:r>
    </w:p>
    <w:p w:rsidR="00EA5518" w:rsidRPr="009123A0" w:rsidRDefault="00EA5518" w:rsidP="00EA5518">
      <w:pPr>
        <w:rPr>
          <w:rFonts w:ascii="Arial" w:hAnsi="Arial" w:cs="Arial"/>
        </w:rPr>
      </w:pPr>
      <w:r w:rsidRPr="009123A0">
        <w:rPr>
          <w:rFonts w:ascii="Arial" w:hAnsi="Arial" w:cs="Arial"/>
        </w:rPr>
        <w:t>If we split this staff group by gender, we w</w:t>
      </w:r>
      <w:r w:rsidR="00A517AC" w:rsidRPr="009123A0">
        <w:rPr>
          <w:rFonts w:ascii="Arial" w:hAnsi="Arial" w:cs="Arial"/>
        </w:rPr>
        <w:t>ill see that the number of male</w:t>
      </w:r>
      <w:r w:rsidRPr="009123A0">
        <w:rPr>
          <w:rFonts w:ascii="Arial" w:hAnsi="Arial" w:cs="Arial"/>
        </w:rPr>
        <w:t>s is higher than the number of females (respectively 6</w:t>
      </w:r>
      <w:r w:rsidR="00FB3F39" w:rsidRPr="009123A0">
        <w:rPr>
          <w:rFonts w:ascii="Arial" w:hAnsi="Arial" w:cs="Arial"/>
        </w:rPr>
        <w:t>2</w:t>
      </w:r>
      <w:r w:rsidRPr="009123A0">
        <w:rPr>
          <w:rFonts w:ascii="Arial" w:hAnsi="Arial" w:cs="Arial"/>
        </w:rPr>
        <w:t>% male, 3</w:t>
      </w:r>
      <w:r w:rsidR="00FB3F39" w:rsidRPr="009123A0">
        <w:rPr>
          <w:rFonts w:ascii="Arial" w:hAnsi="Arial" w:cs="Arial"/>
        </w:rPr>
        <w:t>8</w:t>
      </w:r>
      <w:r w:rsidRPr="009123A0">
        <w:rPr>
          <w:rFonts w:ascii="Arial" w:hAnsi="Arial" w:cs="Arial"/>
        </w:rPr>
        <w:t xml:space="preserve">% female). The </w:t>
      </w:r>
      <w:r w:rsidRPr="009123A0">
        <w:rPr>
          <w:rFonts w:ascii="Arial" w:hAnsi="Arial" w:cs="Arial"/>
          <w:b/>
        </w:rPr>
        <w:t xml:space="preserve">mean pay gap is </w:t>
      </w:r>
      <w:r w:rsidR="00FB3F39" w:rsidRPr="009123A0">
        <w:rPr>
          <w:rFonts w:ascii="Arial" w:hAnsi="Arial" w:cs="Arial"/>
          <w:b/>
        </w:rPr>
        <w:t>4.4</w:t>
      </w:r>
      <w:r w:rsidRPr="009123A0">
        <w:rPr>
          <w:rFonts w:ascii="Arial" w:hAnsi="Arial" w:cs="Arial"/>
          <w:b/>
        </w:rPr>
        <w:t>%</w:t>
      </w:r>
      <w:r w:rsidRPr="009123A0">
        <w:rPr>
          <w:rFonts w:ascii="Arial" w:hAnsi="Arial" w:cs="Arial"/>
        </w:rPr>
        <w:t xml:space="preserve"> which equals to £</w:t>
      </w:r>
      <w:r w:rsidR="00FB3F39" w:rsidRPr="009123A0">
        <w:rPr>
          <w:rFonts w:ascii="Arial" w:hAnsi="Arial" w:cs="Arial"/>
        </w:rPr>
        <w:t>2.05</w:t>
      </w:r>
      <w:r w:rsidRPr="009123A0">
        <w:rPr>
          <w:rFonts w:ascii="Arial" w:hAnsi="Arial" w:cs="Arial"/>
        </w:rPr>
        <w:t xml:space="preserve"> per hour, whilst the median pay gap is </w:t>
      </w:r>
      <w:r w:rsidR="00FB3F39" w:rsidRPr="009123A0">
        <w:rPr>
          <w:rFonts w:ascii="Arial" w:hAnsi="Arial" w:cs="Arial"/>
        </w:rPr>
        <w:t>7</w:t>
      </w:r>
      <w:r w:rsidRPr="009123A0">
        <w:rPr>
          <w:rFonts w:ascii="Arial" w:hAnsi="Arial" w:cs="Arial"/>
        </w:rPr>
        <w:t>%, which equals £</w:t>
      </w:r>
      <w:r w:rsidR="00FB3F39" w:rsidRPr="009123A0">
        <w:rPr>
          <w:rFonts w:ascii="Arial" w:hAnsi="Arial" w:cs="Arial"/>
        </w:rPr>
        <w:t>3.35</w:t>
      </w:r>
      <w:r w:rsidRPr="009123A0">
        <w:rPr>
          <w:rFonts w:ascii="Arial" w:hAnsi="Arial" w:cs="Arial"/>
        </w:rPr>
        <w:t xml:space="preserve"> per hour. The detail is set out in the</w:t>
      </w:r>
      <w:r w:rsidR="00D64639" w:rsidRPr="009123A0">
        <w:rPr>
          <w:rFonts w:ascii="Arial" w:hAnsi="Arial" w:cs="Arial"/>
        </w:rPr>
        <w:t xml:space="preserve"> next</w:t>
      </w:r>
      <w:r w:rsidRPr="009123A0">
        <w:rPr>
          <w:rFonts w:ascii="Arial" w:hAnsi="Arial" w:cs="Arial"/>
        </w:rPr>
        <w:t xml:space="preserve"> table</w:t>
      </w:r>
      <w:r w:rsidR="00D64639" w:rsidRPr="009123A0">
        <w:rPr>
          <w:rFonts w:ascii="Arial" w:hAnsi="Arial" w:cs="Arial"/>
        </w:rPr>
        <w:t>.</w:t>
      </w:r>
      <w:r w:rsidRPr="009123A0">
        <w:rPr>
          <w:rFonts w:ascii="Arial" w:hAnsi="Arial" w:cs="Arial"/>
        </w:rPr>
        <w:t xml:space="preserve"> </w:t>
      </w:r>
    </w:p>
    <w:p w:rsidR="00B072D9" w:rsidRPr="009123A0" w:rsidRDefault="00B072D9" w:rsidP="00B072D9">
      <w:pPr>
        <w:rPr>
          <w:rFonts w:ascii="Arial" w:hAnsi="Arial" w:cs="Arial"/>
        </w:rPr>
      </w:pPr>
      <w:r w:rsidRPr="009123A0">
        <w:rPr>
          <w:rFonts w:ascii="Arial" w:hAnsi="Arial" w:cs="Arial"/>
        </w:rPr>
        <w:t>As at 31 March 20</w:t>
      </w:r>
      <w:r w:rsidR="00EA547E" w:rsidRPr="009123A0">
        <w:rPr>
          <w:rFonts w:ascii="Arial" w:hAnsi="Arial" w:cs="Arial"/>
        </w:rPr>
        <w:t>20</w:t>
      </w:r>
      <w:r w:rsidRPr="009123A0">
        <w:rPr>
          <w:rFonts w:ascii="Arial" w:hAnsi="Arial" w:cs="Arial"/>
        </w:rPr>
        <w:t xml:space="preserve"> GHFT </w:t>
      </w:r>
      <w:r w:rsidR="00025E0D" w:rsidRPr="009123A0">
        <w:rPr>
          <w:rFonts w:ascii="Arial" w:hAnsi="Arial" w:cs="Arial"/>
        </w:rPr>
        <w:t xml:space="preserve">had </w:t>
      </w:r>
      <w:r w:rsidR="00154E37" w:rsidRPr="009123A0">
        <w:rPr>
          <w:rFonts w:ascii="Arial" w:hAnsi="Arial" w:cs="Arial"/>
        </w:rPr>
        <w:t>885</w:t>
      </w:r>
      <w:r w:rsidRPr="009123A0">
        <w:rPr>
          <w:rFonts w:ascii="Arial" w:hAnsi="Arial" w:cs="Arial"/>
        </w:rPr>
        <w:t xml:space="preserve"> </w:t>
      </w:r>
      <w:r w:rsidR="00EA547E" w:rsidRPr="009123A0">
        <w:rPr>
          <w:rFonts w:ascii="Arial" w:hAnsi="Arial" w:cs="Arial"/>
        </w:rPr>
        <w:t>Training Grade</w:t>
      </w:r>
      <w:r w:rsidRPr="009123A0">
        <w:rPr>
          <w:rFonts w:ascii="Arial" w:hAnsi="Arial" w:cs="Arial"/>
        </w:rPr>
        <w:t xml:space="preserve"> docto</w:t>
      </w:r>
      <w:r w:rsidR="00025E0D" w:rsidRPr="009123A0">
        <w:rPr>
          <w:rFonts w:ascii="Arial" w:hAnsi="Arial" w:cs="Arial"/>
        </w:rPr>
        <w:t>rs on staff</w:t>
      </w:r>
      <w:r w:rsidR="00154E37" w:rsidRPr="009123A0">
        <w:rPr>
          <w:rFonts w:ascii="Arial" w:hAnsi="Arial" w:cs="Arial"/>
        </w:rPr>
        <w:t xml:space="preserve"> (including hosted GP Trainees)</w:t>
      </w:r>
      <w:r w:rsidR="00025E0D" w:rsidRPr="009123A0">
        <w:rPr>
          <w:rFonts w:ascii="Arial" w:hAnsi="Arial" w:cs="Arial"/>
        </w:rPr>
        <w:t xml:space="preserve">. </w:t>
      </w:r>
      <w:r w:rsidR="00154E37" w:rsidRPr="009123A0">
        <w:rPr>
          <w:rFonts w:ascii="Arial" w:hAnsi="Arial" w:cs="Arial"/>
        </w:rPr>
        <w:t xml:space="preserve">There are </w:t>
      </w:r>
      <w:r w:rsidR="00025E0D" w:rsidRPr="009123A0">
        <w:rPr>
          <w:rFonts w:ascii="Arial" w:hAnsi="Arial" w:cs="Arial"/>
        </w:rPr>
        <w:t>3</w:t>
      </w:r>
      <w:r w:rsidR="00154E37" w:rsidRPr="009123A0">
        <w:rPr>
          <w:rFonts w:ascii="Arial" w:hAnsi="Arial" w:cs="Arial"/>
        </w:rPr>
        <w:t>20</w:t>
      </w:r>
      <w:r w:rsidRPr="009123A0">
        <w:rPr>
          <w:rFonts w:ascii="Arial" w:hAnsi="Arial" w:cs="Arial"/>
        </w:rPr>
        <w:t xml:space="preserve"> male doctors (</w:t>
      </w:r>
      <w:r w:rsidR="00025E0D" w:rsidRPr="009123A0">
        <w:rPr>
          <w:rFonts w:ascii="Arial" w:hAnsi="Arial" w:cs="Arial"/>
        </w:rPr>
        <w:t xml:space="preserve">36% of total) and </w:t>
      </w:r>
      <w:r w:rsidR="00154E37" w:rsidRPr="009123A0">
        <w:rPr>
          <w:rFonts w:ascii="Arial" w:hAnsi="Arial" w:cs="Arial"/>
        </w:rPr>
        <w:t>565</w:t>
      </w:r>
      <w:r w:rsidR="00025E0D" w:rsidRPr="009123A0">
        <w:rPr>
          <w:rFonts w:ascii="Arial" w:hAnsi="Arial" w:cs="Arial"/>
        </w:rPr>
        <w:t xml:space="preserve"> female doctors (6</w:t>
      </w:r>
      <w:r w:rsidRPr="009123A0">
        <w:rPr>
          <w:rFonts w:ascii="Arial" w:hAnsi="Arial" w:cs="Arial"/>
        </w:rPr>
        <w:t xml:space="preserve">4% of total). </w:t>
      </w:r>
      <w:r w:rsidR="00154E37" w:rsidRPr="009123A0">
        <w:rPr>
          <w:rFonts w:ascii="Arial" w:hAnsi="Arial" w:cs="Arial"/>
        </w:rPr>
        <w:t xml:space="preserve"> It appears</w:t>
      </w:r>
      <w:r w:rsidRPr="009123A0">
        <w:rPr>
          <w:rFonts w:ascii="Arial" w:hAnsi="Arial" w:cs="Arial"/>
        </w:rPr>
        <w:t xml:space="preserve"> that as doctor</w:t>
      </w:r>
      <w:r w:rsidR="00154E37" w:rsidRPr="009123A0">
        <w:rPr>
          <w:rFonts w:ascii="Arial" w:hAnsi="Arial" w:cs="Arial"/>
        </w:rPr>
        <w:t>’</w:t>
      </w:r>
      <w:r w:rsidRPr="009123A0">
        <w:rPr>
          <w:rFonts w:ascii="Arial" w:hAnsi="Arial" w:cs="Arial"/>
        </w:rPr>
        <w:t xml:space="preserve">s careers develop, there appears to be a higher attrition of female than male doctors, </w:t>
      </w:r>
      <w:r w:rsidR="00154E37" w:rsidRPr="009123A0">
        <w:rPr>
          <w:rFonts w:ascii="Arial" w:hAnsi="Arial" w:cs="Arial"/>
        </w:rPr>
        <w:t>since</w:t>
      </w:r>
      <w:r w:rsidRPr="009123A0">
        <w:rPr>
          <w:rFonts w:ascii="Arial" w:hAnsi="Arial" w:cs="Arial"/>
        </w:rPr>
        <w:t xml:space="preserve"> in the more senior grades taken together (specialty doctor; associate specialist; </w:t>
      </w:r>
      <w:r w:rsidR="00154E37" w:rsidRPr="009123A0">
        <w:rPr>
          <w:rFonts w:ascii="Arial" w:hAnsi="Arial" w:cs="Arial"/>
        </w:rPr>
        <w:t>Consultants</w:t>
      </w:r>
      <w:r w:rsidRPr="009123A0">
        <w:rPr>
          <w:rFonts w:ascii="Arial" w:hAnsi="Arial" w:cs="Arial"/>
        </w:rPr>
        <w:t>) male doctors are the majority</w:t>
      </w:r>
      <w:r w:rsidR="00154E37" w:rsidRPr="009123A0">
        <w:rPr>
          <w:rFonts w:ascii="Arial" w:hAnsi="Arial" w:cs="Arial"/>
        </w:rPr>
        <w:t xml:space="preserve"> (62%)</w:t>
      </w:r>
      <w:r w:rsidRPr="009123A0">
        <w:rPr>
          <w:rFonts w:ascii="Arial" w:hAnsi="Arial" w:cs="Arial"/>
        </w:rPr>
        <w:t xml:space="preserve">. </w:t>
      </w:r>
      <w:r w:rsidR="00154E37" w:rsidRPr="009123A0">
        <w:rPr>
          <w:rFonts w:ascii="Arial" w:hAnsi="Arial" w:cs="Arial"/>
        </w:rPr>
        <w:t xml:space="preserve"> There is also the issue that more females than males are currently training, which is a relatively recent trend – </w:t>
      </w:r>
      <w:r w:rsidR="003937AB">
        <w:rPr>
          <w:rFonts w:ascii="Arial" w:hAnsi="Arial" w:cs="Arial"/>
        </w:rPr>
        <w:t xml:space="preserve">in the </w:t>
      </w:r>
      <w:r w:rsidR="00154E37" w:rsidRPr="009123A0">
        <w:rPr>
          <w:rFonts w:ascii="Arial" w:hAnsi="Arial" w:cs="Arial"/>
        </w:rPr>
        <w:t>last 15 years.</w:t>
      </w:r>
    </w:p>
    <w:p w:rsidR="00B072D9" w:rsidRPr="009123A0" w:rsidRDefault="00B072D9" w:rsidP="00B072D9">
      <w:pPr>
        <w:rPr>
          <w:rFonts w:ascii="Arial" w:hAnsi="Arial" w:cs="Arial"/>
        </w:rPr>
      </w:pPr>
      <w:r w:rsidRPr="009123A0">
        <w:rPr>
          <w:rFonts w:ascii="Arial" w:hAnsi="Arial" w:cs="Arial"/>
        </w:rPr>
        <w:lastRenderedPageBreak/>
        <w:t xml:space="preserve">The data suggests that in the early years of training, the gender pay gap is </w:t>
      </w:r>
      <w:r w:rsidR="00B6444A" w:rsidRPr="009123A0">
        <w:rPr>
          <w:rFonts w:ascii="Arial" w:hAnsi="Arial" w:cs="Arial"/>
        </w:rPr>
        <w:t>insignificant.</w:t>
      </w:r>
      <w:r w:rsidRPr="009123A0">
        <w:rPr>
          <w:rFonts w:ascii="Arial" w:hAnsi="Arial" w:cs="Arial"/>
        </w:rPr>
        <w:t xml:space="preserve"> As careers develop, the data shows that the pay gap </w:t>
      </w:r>
      <w:r w:rsidR="00B6444A" w:rsidRPr="009123A0">
        <w:rPr>
          <w:rFonts w:ascii="Arial" w:hAnsi="Arial" w:cs="Arial"/>
        </w:rPr>
        <w:t>increases in of</w:t>
      </w:r>
      <w:r w:rsidRPr="009123A0">
        <w:rPr>
          <w:rFonts w:ascii="Arial" w:hAnsi="Arial" w:cs="Arial"/>
        </w:rPr>
        <w:t xml:space="preserve"> favour male doctors. At the </w:t>
      </w:r>
      <w:r w:rsidR="00B6444A" w:rsidRPr="009123A0">
        <w:rPr>
          <w:rFonts w:ascii="Arial" w:hAnsi="Arial" w:cs="Arial"/>
        </w:rPr>
        <w:t>Associate Specialist</w:t>
      </w:r>
      <w:r w:rsidRPr="009123A0">
        <w:rPr>
          <w:rFonts w:ascii="Arial" w:hAnsi="Arial" w:cs="Arial"/>
        </w:rPr>
        <w:t xml:space="preserve"> level, th</w:t>
      </w:r>
      <w:r w:rsidR="00025E0D" w:rsidRPr="009123A0">
        <w:rPr>
          <w:rFonts w:ascii="Arial" w:hAnsi="Arial" w:cs="Arial"/>
        </w:rPr>
        <w:t xml:space="preserve">e mean gender pay gap reaches </w:t>
      </w:r>
      <w:r w:rsidR="00B6444A" w:rsidRPr="009123A0">
        <w:rPr>
          <w:rFonts w:ascii="Arial" w:hAnsi="Arial" w:cs="Arial"/>
        </w:rPr>
        <w:t>8.83</w:t>
      </w:r>
      <w:r w:rsidRPr="009123A0">
        <w:rPr>
          <w:rFonts w:ascii="Arial" w:hAnsi="Arial" w:cs="Arial"/>
        </w:rPr>
        <w:t>% in favour of males, the highest in the Trust</w:t>
      </w:r>
      <w:r w:rsidR="00B6444A" w:rsidRPr="009123A0">
        <w:rPr>
          <w:rFonts w:ascii="Arial" w:hAnsi="Arial" w:cs="Arial"/>
        </w:rPr>
        <w:t xml:space="preserve"> apart from </w:t>
      </w:r>
      <w:r w:rsidR="00C534B3">
        <w:rPr>
          <w:rFonts w:ascii="Arial" w:hAnsi="Arial" w:cs="Arial"/>
        </w:rPr>
        <w:t>Agenda for Change staff</w:t>
      </w:r>
      <w:r w:rsidRPr="009123A0">
        <w:rPr>
          <w:rFonts w:ascii="Arial" w:hAnsi="Arial" w:cs="Arial"/>
        </w:rPr>
        <w:t xml:space="preserve">. </w:t>
      </w:r>
      <w:r w:rsidR="00B6444A" w:rsidRPr="009123A0">
        <w:rPr>
          <w:rFonts w:ascii="Arial" w:hAnsi="Arial" w:cs="Arial"/>
        </w:rPr>
        <w:t xml:space="preserve"> </w:t>
      </w:r>
      <w:r w:rsidRPr="009123A0">
        <w:rPr>
          <w:rFonts w:ascii="Arial" w:hAnsi="Arial" w:cs="Arial"/>
        </w:rPr>
        <w:t>This potentially raises complex issues around career progression</w:t>
      </w:r>
      <w:r w:rsidR="00C534B3">
        <w:rPr>
          <w:rFonts w:ascii="Arial" w:hAnsi="Arial" w:cs="Arial"/>
        </w:rPr>
        <w:t xml:space="preserve"> </w:t>
      </w:r>
      <w:r w:rsidRPr="009123A0">
        <w:rPr>
          <w:rFonts w:ascii="Arial" w:hAnsi="Arial" w:cs="Arial"/>
        </w:rPr>
        <w:t xml:space="preserve">and </w:t>
      </w:r>
      <w:r w:rsidR="00C534B3">
        <w:rPr>
          <w:rFonts w:ascii="Arial" w:hAnsi="Arial" w:cs="Arial"/>
        </w:rPr>
        <w:t xml:space="preserve">the importance of </w:t>
      </w:r>
      <w:r w:rsidRPr="009123A0">
        <w:rPr>
          <w:rFonts w:ascii="Arial" w:hAnsi="Arial" w:cs="Arial"/>
        </w:rPr>
        <w:t>caree</w:t>
      </w:r>
      <w:r w:rsidR="003937AB">
        <w:rPr>
          <w:rFonts w:ascii="Arial" w:hAnsi="Arial" w:cs="Arial"/>
        </w:rPr>
        <w:t>r support to our female doctors: s</w:t>
      </w:r>
      <w:r w:rsidR="00C534B3">
        <w:rPr>
          <w:rFonts w:ascii="Arial" w:hAnsi="Arial" w:cs="Arial"/>
        </w:rPr>
        <w:t xml:space="preserve">omething our SAS </w:t>
      </w:r>
      <w:r w:rsidR="006561E9">
        <w:rPr>
          <w:rFonts w:ascii="Arial" w:hAnsi="Arial" w:cs="Arial"/>
        </w:rPr>
        <w:t>and Medical E</w:t>
      </w:r>
      <w:r w:rsidR="00C534B3">
        <w:rPr>
          <w:rFonts w:ascii="Arial" w:hAnsi="Arial" w:cs="Arial"/>
        </w:rPr>
        <w:t>ducation provision has and continues to provide support for</w:t>
      </w:r>
      <w:r w:rsidR="003937AB">
        <w:rPr>
          <w:rFonts w:ascii="Arial" w:hAnsi="Arial" w:cs="Arial"/>
        </w:rPr>
        <w:t xml:space="preserve"> through 1:1 coaching support</w:t>
      </w:r>
      <w:r w:rsidR="00C534B3">
        <w:rPr>
          <w:rFonts w:ascii="Arial" w:hAnsi="Arial" w:cs="Arial"/>
        </w:rPr>
        <w:t>.</w:t>
      </w:r>
    </w:p>
    <w:tbl>
      <w:tblPr>
        <w:tblW w:w="9385" w:type="dxa"/>
        <w:tblInd w:w="93" w:type="dxa"/>
        <w:tblLook w:val="04A0" w:firstRow="1" w:lastRow="0" w:firstColumn="1" w:lastColumn="0" w:noHBand="0" w:noVBand="1"/>
      </w:tblPr>
      <w:tblGrid>
        <w:gridCol w:w="3690"/>
        <w:gridCol w:w="706"/>
        <w:gridCol w:w="975"/>
        <w:gridCol w:w="1085"/>
        <w:gridCol w:w="1085"/>
        <w:gridCol w:w="1408"/>
        <w:gridCol w:w="840"/>
      </w:tblGrid>
      <w:tr w:rsidR="00154E37" w:rsidRPr="009123A0" w:rsidTr="00C534B3">
        <w:trPr>
          <w:trHeight w:val="828"/>
        </w:trPr>
        <w:tc>
          <w:tcPr>
            <w:tcW w:w="36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 </w:t>
            </w:r>
          </w:p>
        </w:tc>
        <w:tc>
          <w:tcPr>
            <w:tcW w:w="651" w:type="dxa"/>
            <w:tcBorders>
              <w:top w:val="single" w:sz="8" w:space="0" w:color="auto"/>
              <w:left w:val="nil"/>
              <w:bottom w:val="single" w:sz="8" w:space="0" w:color="auto"/>
              <w:right w:val="single" w:sz="8" w:space="0" w:color="auto"/>
            </w:tcBorders>
            <w:shd w:val="clear" w:color="auto" w:fill="auto"/>
            <w:vAlign w:val="center"/>
            <w:hideMark/>
          </w:tcPr>
          <w:p w:rsidR="00154E37" w:rsidRPr="009123A0" w:rsidRDefault="00154E37" w:rsidP="00154E37">
            <w:pPr>
              <w:spacing w:after="0" w:line="240" w:lineRule="auto"/>
              <w:jc w:val="center"/>
              <w:rPr>
                <w:rFonts w:ascii="Arial" w:eastAsia="Times New Roman" w:hAnsi="Arial" w:cs="Arial"/>
                <w:b/>
                <w:bCs/>
                <w:color w:val="000000"/>
                <w:lang w:eastAsia="en-GB"/>
              </w:rPr>
            </w:pPr>
            <w:r w:rsidRPr="009123A0">
              <w:rPr>
                <w:rFonts w:ascii="Arial" w:eastAsia="Times New Roman" w:hAnsi="Arial" w:cs="Arial"/>
                <w:b/>
                <w:bCs/>
                <w:color w:val="000000"/>
                <w:lang w:eastAsia="en-GB"/>
              </w:rPr>
              <w:t>No. Male Staff</w:t>
            </w:r>
          </w:p>
        </w:tc>
        <w:tc>
          <w:tcPr>
            <w:tcW w:w="890" w:type="dxa"/>
            <w:tcBorders>
              <w:top w:val="single" w:sz="8" w:space="0" w:color="auto"/>
              <w:left w:val="nil"/>
              <w:bottom w:val="single" w:sz="8" w:space="0" w:color="auto"/>
              <w:right w:val="single" w:sz="8" w:space="0" w:color="auto"/>
            </w:tcBorders>
            <w:shd w:val="clear" w:color="auto" w:fill="auto"/>
            <w:vAlign w:val="center"/>
            <w:hideMark/>
          </w:tcPr>
          <w:p w:rsidR="00154E37" w:rsidRPr="009123A0" w:rsidRDefault="00154E37" w:rsidP="00154E37">
            <w:pPr>
              <w:spacing w:after="0" w:line="240" w:lineRule="auto"/>
              <w:jc w:val="center"/>
              <w:rPr>
                <w:rFonts w:ascii="Arial" w:eastAsia="Times New Roman" w:hAnsi="Arial" w:cs="Arial"/>
                <w:b/>
                <w:bCs/>
                <w:color w:val="000000"/>
                <w:lang w:eastAsia="en-GB"/>
              </w:rPr>
            </w:pPr>
            <w:r w:rsidRPr="009123A0">
              <w:rPr>
                <w:rFonts w:ascii="Arial" w:eastAsia="Times New Roman" w:hAnsi="Arial" w:cs="Arial"/>
                <w:b/>
                <w:bCs/>
                <w:color w:val="000000"/>
                <w:lang w:eastAsia="en-GB"/>
              </w:rPr>
              <w:t>No. Female Staff</w:t>
            </w:r>
          </w:p>
        </w:tc>
        <w:tc>
          <w:tcPr>
            <w:tcW w:w="988" w:type="dxa"/>
            <w:tcBorders>
              <w:top w:val="single" w:sz="8" w:space="0" w:color="auto"/>
              <w:left w:val="nil"/>
              <w:bottom w:val="single" w:sz="8" w:space="0" w:color="auto"/>
              <w:right w:val="single" w:sz="8" w:space="0" w:color="auto"/>
            </w:tcBorders>
            <w:shd w:val="clear" w:color="auto" w:fill="auto"/>
            <w:vAlign w:val="center"/>
            <w:hideMark/>
          </w:tcPr>
          <w:p w:rsidR="00154E37" w:rsidRPr="009123A0" w:rsidRDefault="00154E37" w:rsidP="00154E37">
            <w:pPr>
              <w:spacing w:after="0" w:line="240" w:lineRule="auto"/>
              <w:jc w:val="center"/>
              <w:rPr>
                <w:rFonts w:ascii="Arial" w:eastAsia="Times New Roman" w:hAnsi="Arial" w:cs="Arial"/>
                <w:b/>
                <w:bCs/>
                <w:color w:val="000000"/>
                <w:lang w:eastAsia="en-GB"/>
              </w:rPr>
            </w:pPr>
            <w:r w:rsidRPr="009123A0">
              <w:rPr>
                <w:rFonts w:ascii="Arial" w:eastAsia="Times New Roman" w:hAnsi="Arial" w:cs="Arial"/>
                <w:b/>
                <w:bCs/>
                <w:color w:val="000000"/>
                <w:lang w:eastAsia="en-GB"/>
              </w:rPr>
              <w:t>Male Average Hourly Rate</w:t>
            </w:r>
          </w:p>
        </w:tc>
        <w:tc>
          <w:tcPr>
            <w:tcW w:w="988" w:type="dxa"/>
            <w:tcBorders>
              <w:top w:val="single" w:sz="8" w:space="0" w:color="auto"/>
              <w:left w:val="nil"/>
              <w:bottom w:val="single" w:sz="8" w:space="0" w:color="auto"/>
              <w:right w:val="single" w:sz="8" w:space="0" w:color="auto"/>
            </w:tcBorders>
            <w:shd w:val="clear" w:color="auto" w:fill="auto"/>
            <w:vAlign w:val="center"/>
            <w:hideMark/>
          </w:tcPr>
          <w:p w:rsidR="00154E37" w:rsidRPr="009123A0" w:rsidRDefault="00154E37" w:rsidP="00154E37">
            <w:pPr>
              <w:spacing w:after="0" w:line="240" w:lineRule="auto"/>
              <w:jc w:val="center"/>
              <w:rPr>
                <w:rFonts w:ascii="Arial" w:eastAsia="Times New Roman" w:hAnsi="Arial" w:cs="Arial"/>
                <w:b/>
                <w:bCs/>
                <w:color w:val="000000"/>
                <w:lang w:eastAsia="en-GB"/>
              </w:rPr>
            </w:pPr>
            <w:r w:rsidRPr="009123A0">
              <w:rPr>
                <w:rFonts w:ascii="Arial" w:eastAsia="Times New Roman" w:hAnsi="Arial" w:cs="Arial"/>
                <w:b/>
                <w:bCs/>
                <w:color w:val="000000"/>
                <w:lang w:eastAsia="en-GB"/>
              </w:rPr>
              <w:t>Female Average Hourly Rate</w:t>
            </w:r>
          </w:p>
        </w:tc>
        <w:tc>
          <w:tcPr>
            <w:tcW w:w="1408" w:type="dxa"/>
            <w:tcBorders>
              <w:top w:val="single" w:sz="8" w:space="0" w:color="auto"/>
              <w:left w:val="nil"/>
              <w:bottom w:val="single" w:sz="8" w:space="0" w:color="auto"/>
              <w:right w:val="single" w:sz="8" w:space="0" w:color="auto"/>
            </w:tcBorders>
            <w:shd w:val="clear" w:color="auto" w:fill="auto"/>
            <w:vAlign w:val="center"/>
            <w:hideMark/>
          </w:tcPr>
          <w:p w:rsidR="00154E37" w:rsidRPr="009123A0" w:rsidRDefault="00154E37" w:rsidP="00154E37">
            <w:pPr>
              <w:spacing w:after="0" w:line="240" w:lineRule="auto"/>
              <w:jc w:val="center"/>
              <w:rPr>
                <w:rFonts w:ascii="Arial" w:eastAsia="Times New Roman" w:hAnsi="Arial" w:cs="Arial"/>
                <w:b/>
                <w:bCs/>
                <w:color w:val="000000"/>
                <w:lang w:eastAsia="en-GB"/>
              </w:rPr>
            </w:pPr>
            <w:r w:rsidRPr="009123A0">
              <w:rPr>
                <w:rFonts w:ascii="Arial" w:eastAsia="Times New Roman" w:hAnsi="Arial" w:cs="Arial"/>
                <w:b/>
                <w:bCs/>
                <w:color w:val="000000"/>
                <w:lang w:eastAsia="en-GB"/>
              </w:rPr>
              <w:t>Difference</w:t>
            </w:r>
          </w:p>
        </w:tc>
        <w:tc>
          <w:tcPr>
            <w:tcW w:w="770" w:type="dxa"/>
            <w:tcBorders>
              <w:top w:val="single" w:sz="8" w:space="0" w:color="auto"/>
              <w:left w:val="nil"/>
              <w:bottom w:val="single" w:sz="8" w:space="0" w:color="auto"/>
              <w:right w:val="single" w:sz="8" w:space="0" w:color="auto"/>
            </w:tcBorders>
            <w:shd w:val="clear" w:color="auto" w:fill="auto"/>
            <w:vAlign w:val="center"/>
            <w:hideMark/>
          </w:tcPr>
          <w:p w:rsidR="00154E37" w:rsidRPr="009123A0" w:rsidRDefault="00154E37" w:rsidP="00154E37">
            <w:pPr>
              <w:spacing w:after="0" w:line="240" w:lineRule="auto"/>
              <w:jc w:val="center"/>
              <w:rPr>
                <w:rFonts w:ascii="Arial" w:eastAsia="Times New Roman" w:hAnsi="Arial" w:cs="Arial"/>
                <w:b/>
                <w:bCs/>
                <w:color w:val="000000"/>
                <w:lang w:eastAsia="en-GB"/>
              </w:rPr>
            </w:pPr>
            <w:r w:rsidRPr="009123A0">
              <w:rPr>
                <w:rFonts w:ascii="Arial" w:eastAsia="Times New Roman" w:hAnsi="Arial" w:cs="Arial"/>
                <w:b/>
                <w:bCs/>
                <w:color w:val="000000"/>
                <w:lang w:eastAsia="en-GB"/>
              </w:rPr>
              <w:t>Gap</w:t>
            </w:r>
          </w:p>
        </w:tc>
      </w:tr>
      <w:tr w:rsidR="00154E37" w:rsidRPr="009123A0" w:rsidTr="00C534B3">
        <w:trPr>
          <w:trHeight w:val="30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Foundation Year 1</w:t>
            </w:r>
          </w:p>
        </w:tc>
        <w:tc>
          <w:tcPr>
            <w:tcW w:w="651"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15</w:t>
            </w:r>
          </w:p>
        </w:tc>
        <w:tc>
          <w:tcPr>
            <w:tcW w:w="89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39</w:t>
            </w:r>
          </w:p>
        </w:tc>
        <w:tc>
          <w:tcPr>
            <w:tcW w:w="98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14.81</w:t>
            </w:r>
          </w:p>
        </w:tc>
        <w:tc>
          <w:tcPr>
            <w:tcW w:w="988" w:type="dxa"/>
            <w:tcBorders>
              <w:top w:val="nil"/>
              <w:left w:val="nil"/>
              <w:bottom w:val="single" w:sz="8" w:space="0" w:color="auto"/>
              <w:right w:val="single" w:sz="8" w:space="0" w:color="auto"/>
            </w:tcBorders>
            <w:shd w:val="clear" w:color="000000" w:fill="92D050"/>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14.83</w:t>
            </w:r>
          </w:p>
        </w:tc>
        <w:tc>
          <w:tcPr>
            <w:tcW w:w="140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-£0.02</w:t>
            </w:r>
          </w:p>
        </w:tc>
        <w:tc>
          <w:tcPr>
            <w:tcW w:w="77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-0.14%</w:t>
            </w:r>
          </w:p>
        </w:tc>
      </w:tr>
      <w:tr w:rsidR="00154E37" w:rsidRPr="009123A0" w:rsidTr="00C534B3">
        <w:trPr>
          <w:trHeight w:val="30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Foundation Year 2</w:t>
            </w:r>
          </w:p>
        </w:tc>
        <w:tc>
          <w:tcPr>
            <w:tcW w:w="651"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17</w:t>
            </w:r>
          </w:p>
        </w:tc>
        <w:tc>
          <w:tcPr>
            <w:tcW w:w="89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38</w:t>
            </w:r>
          </w:p>
        </w:tc>
        <w:tc>
          <w:tcPr>
            <w:tcW w:w="98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17.53</w:t>
            </w:r>
          </w:p>
        </w:tc>
        <w:tc>
          <w:tcPr>
            <w:tcW w:w="988" w:type="dxa"/>
            <w:tcBorders>
              <w:top w:val="nil"/>
              <w:left w:val="nil"/>
              <w:bottom w:val="single" w:sz="8" w:space="0" w:color="auto"/>
              <w:right w:val="single" w:sz="8" w:space="0" w:color="auto"/>
            </w:tcBorders>
            <w:shd w:val="clear" w:color="000000" w:fill="92D050"/>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17.88</w:t>
            </w:r>
          </w:p>
        </w:tc>
        <w:tc>
          <w:tcPr>
            <w:tcW w:w="140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-£0.35</w:t>
            </w:r>
          </w:p>
        </w:tc>
        <w:tc>
          <w:tcPr>
            <w:tcW w:w="77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-2.01%</w:t>
            </w:r>
          </w:p>
        </w:tc>
      </w:tr>
      <w:tr w:rsidR="00154E37" w:rsidRPr="009123A0" w:rsidTr="00C534B3">
        <w:trPr>
          <w:trHeight w:val="30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Specialty Registrar</w:t>
            </w:r>
          </w:p>
        </w:tc>
        <w:tc>
          <w:tcPr>
            <w:tcW w:w="651"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288</w:t>
            </w:r>
          </w:p>
        </w:tc>
        <w:tc>
          <w:tcPr>
            <w:tcW w:w="89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488</w:t>
            </w:r>
          </w:p>
        </w:tc>
        <w:tc>
          <w:tcPr>
            <w:tcW w:w="98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23.98</w:t>
            </w:r>
          </w:p>
        </w:tc>
        <w:tc>
          <w:tcPr>
            <w:tcW w:w="988" w:type="dxa"/>
            <w:tcBorders>
              <w:top w:val="nil"/>
              <w:left w:val="nil"/>
              <w:bottom w:val="single" w:sz="8" w:space="0" w:color="auto"/>
              <w:right w:val="single" w:sz="8" w:space="0" w:color="auto"/>
            </w:tcBorders>
            <w:shd w:val="clear" w:color="000000" w:fill="92D050"/>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24.42</w:t>
            </w:r>
          </w:p>
        </w:tc>
        <w:tc>
          <w:tcPr>
            <w:tcW w:w="140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-£0.44</w:t>
            </w:r>
          </w:p>
        </w:tc>
        <w:tc>
          <w:tcPr>
            <w:tcW w:w="77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-1.85%</w:t>
            </w:r>
          </w:p>
        </w:tc>
      </w:tr>
      <w:tr w:rsidR="00154E37" w:rsidRPr="009123A0" w:rsidTr="00C534B3">
        <w:trPr>
          <w:trHeight w:val="30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Clinical Assistant (Closed to new entrants)</w:t>
            </w:r>
          </w:p>
        </w:tc>
        <w:tc>
          <w:tcPr>
            <w:tcW w:w="651"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w:t>
            </w:r>
          </w:p>
        </w:tc>
        <w:tc>
          <w:tcPr>
            <w:tcW w:w="89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w:t>
            </w:r>
          </w:p>
        </w:tc>
        <w:tc>
          <w:tcPr>
            <w:tcW w:w="98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23.99</w:t>
            </w:r>
          </w:p>
        </w:tc>
        <w:tc>
          <w:tcPr>
            <w:tcW w:w="98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23.99</w:t>
            </w:r>
          </w:p>
        </w:tc>
        <w:tc>
          <w:tcPr>
            <w:tcW w:w="140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£0.00</w:t>
            </w:r>
          </w:p>
        </w:tc>
        <w:tc>
          <w:tcPr>
            <w:tcW w:w="77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0.00%</w:t>
            </w:r>
          </w:p>
        </w:tc>
      </w:tr>
      <w:tr w:rsidR="00154E37" w:rsidRPr="009123A0" w:rsidTr="00C534B3">
        <w:trPr>
          <w:trHeight w:val="30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Hospital Practitioner (Closed to new entrants)</w:t>
            </w:r>
          </w:p>
        </w:tc>
        <w:tc>
          <w:tcPr>
            <w:tcW w:w="651"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w:t>
            </w:r>
          </w:p>
        </w:tc>
        <w:tc>
          <w:tcPr>
            <w:tcW w:w="89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0</w:t>
            </w:r>
          </w:p>
        </w:tc>
        <w:tc>
          <w:tcPr>
            <w:tcW w:w="98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31.66</w:t>
            </w:r>
          </w:p>
        </w:tc>
        <w:tc>
          <w:tcPr>
            <w:tcW w:w="98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 </w:t>
            </w:r>
          </w:p>
        </w:tc>
        <w:tc>
          <w:tcPr>
            <w:tcW w:w="140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 </w:t>
            </w:r>
          </w:p>
        </w:tc>
        <w:tc>
          <w:tcPr>
            <w:tcW w:w="77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 </w:t>
            </w:r>
          </w:p>
        </w:tc>
      </w:tr>
      <w:tr w:rsidR="00154E37" w:rsidRPr="009123A0" w:rsidTr="00C534B3">
        <w:trPr>
          <w:trHeight w:val="30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Specialty Doctor</w:t>
            </w:r>
          </w:p>
        </w:tc>
        <w:tc>
          <w:tcPr>
            <w:tcW w:w="651"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32</w:t>
            </w:r>
          </w:p>
        </w:tc>
        <w:tc>
          <w:tcPr>
            <w:tcW w:w="89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39</w:t>
            </w:r>
          </w:p>
        </w:tc>
        <w:tc>
          <w:tcPr>
            <w:tcW w:w="98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32.75</w:t>
            </w:r>
          </w:p>
        </w:tc>
        <w:tc>
          <w:tcPr>
            <w:tcW w:w="988" w:type="dxa"/>
            <w:tcBorders>
              <w:top w:val="nil"/>
              <w:left w:val="nil"/>
              <w:bottom w:val="single" w:sz="8" w:space="0" w:color="auto"/>
              <w:right w:val="single" w:sz="8" w:space="0" w:color="auto"/>
            </w:tcBorders>
            <w:shd w:val="clear" w:color="000000" w:fill="92D050"/>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32.91</w:t>
            </w:r>
          </w:p>
        </w:tc>
        <w:tc>
          <w:tcPr>
            <w:tcW w:w="140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FF0000"/>
                <w:lang w:eastAsia="en-GB"/>
              </w:rPr>
              <w:t>-£0.17</w:t>
            </w:r>
          </w:p>
        </w:tc>
        <w:tc>
          <w:tcPr>
            <w:tcW w:w="77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-0.51%</w:t>
            </w:r>
          </w:p>
        </w:tc>
      </w:tr>
      <w:tr w:rsidR="00154E37" w:rsidRPr="009123A0" w:rsidTr="00C534B3">
        <w:trPr>
          <w:trHeight w:val="30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Associate Specialist (Closed to new entrants)</w:t>
            </w:r>
          </w:p>
        </w:tc>
        <w:tc>
          <w:tcPr>
            <w:tcW w:w="651"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10</w:t>
            </w:r>
          </w:p>
        </w:tc>
        <w:tc>
          <w:tcPr>
            <w:tcW w:w="89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6</w:t>
            </w:r>
          </w:p>
        </w:tc>
        <w:tc>
          <w:tcPr>
            <w:tcW w:w="988" w:type="dxa"/>
            <w:tcBorders>
              <w:top w:val="nil"/>
              <w:left w:val="nil"/>
              <w:bottom w:val="single" w:sz="8" w:space="0" w:color="auto"/>
              <w:right w:val="single" w:sz="8" w:space="0" w:color="auto"/>
            </w:tcBorders>
            <w:shd w:val="clear" w:color="000000" w:fill="92D050"/>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42.84</w:t>
            </w:r>
          </w:p>
        </w:tc>
        <w:tc>
          <w:tcPr>
            <w:tcW w:w="98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39.06</w:t>
            </w:r>
          </w:p>
        </w:tc>
        <w:tc>
          <w:tcPr>
            <w:tcW w:w="140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£3.78</w:t>
            </w:r>
          </w:p>
        </w:tc>
        <w:tc>
          <w:tcPr>
            <w:tcW w:w="77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8.83%</w:t>
            </w:r>
          </w:p>
        </w:tc>
      </w:tr>
      <w:tr w:rsidR="00154E37" w:rsidRPr="009123A0" w:rsidTr="00C534B3">
        <w:trPr>
          <w:trHeight w:val="300"/>
        </w:trPr>
        <w:tc>
          <w:tcPr>
            <w:tcW w:w="3690" w:type="dxa"/>
            <w:tcBorders>
              <w:top w:val="nil"/>
              <w:left w:val="single" w:sz="8" w:space="0" w:color="auto"/>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rPr>
                <w:rFonts w:ascii="Arial" w:eastAsia="Times New Roman" w:hAnsi="Arial" w:cs="Arial"/>
                <w:color w:val="000000"/>
                <w:lang w:eastAsia="en-GB"/>
              </w:rPr>
            </w:pPr>
            <w:r w:rsidRPr="009123A0">
              <w:rPr>
                <w:rFonts w:ascii="Arial" w:eastAsia="Times New Roman" w:hAnsi="Arial" w:cs="Arial"/>
                <w:color w:val="000000"/>
                <w:lang w:eastAsia="en-GB"/>
              </w:rPr>
              <w:t>Consultant</w:t>
            </w:r>
          </w:p>
        </w:tc>
        <w:tc>
          <w:tcPr>
            <w:tcW w:w="651"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263</w:t>
            </w:r>
          </w:p>
        </w:tc>
        <w:tc>
          <w:tcPr>
            <w:tcW w:w="89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140</w:t>
            </w:r>
          </w:p>
        </w:tc>
        <w:tc>
          <w:tcPr>
            <w:tcW w:w="988" w:type="dxa"/>
            <w:tcBorders>
              <w:top w:val="nil"/>
              <w:left w:val="nil"/>
              <w:bottom w:val="single" w:sz="8" w:space="0" w:color="auto"/>
              <w:right w:val="single" w:sz="8" w:space="0" w:color="auto"/>
            </w:tcBorders>
            <w:shd w:val="clear" w:color="000000" w:fill="92D050"/>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48.88</w:t>
            </w:r>
          </w:p>
        </w:tc>
        <w:tc>
          <w:tcPr>
            <w:tcW w:w="98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47.63</w:t>
            </w:r>
          </w:p>
        </w:tc>
        <w:tc>
          <w:tcPr>
            <w:tcW w:w="1408"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£1.25</w:t>
            </w:r>
          </w:p>
        </w:tc>
        <w:tc>
          <w:tcPr>
            <w:tcW w:w="770" w:type="dxa"/>
            <w:tcBorders>
              <w:top w:val="nil"/>
              <w:left w:val="nil"/>
              <w:bottom w:val="single" w:sz="8" w:space="0" w:color="auto"/>
              <w:right w:val="single" w:sz="8" w:space="0" w:color="auto"/>
            </w:tcBorders>
            <w:shd w:val="clear" w:color="auto" w:fill="auto"/>
            <w:noWrap/>
            <w:vAlign w:val="center"/>
            <w:hideMark/>
          </w:tcPr>
          <w:p w:rsidR="00154E37" w:rsidRPr="009123A0" w:rsidRDefault="00154E37" w:rsidP="00154E37">
            <w:pPr>
              <w:spacing w:after="0" w:line="240" w:lineRule="auto"/>
              <w:jc w:val="center"/>
              <w:rPr>
                <w:rFonts w:ascii="Arial" w:eastAsia="Times New Roman" w:hAnsi="Arial" w:cs="Arial"/>
                <w:color w:val="000000"/>
                <w:lang w:eastAsia="en-GB"/>
              </w:rPr>
            </w:pPr>
            <w:r w:rsidRPr="009123A0">
              <w:rPr>
                <w:rFonts w:ascii="Arial" w:eastAsia="Times New Roman" w:hAnsi="Arial" w:cs="Arial"/>
                <w:color w:val="000000"/>
                <w:lang w:eastAsia="en-GB"/>
              </w:rPr>
              <w:t>2.55%</w:t>
            </w:r>
          </w:p>
        </w:tc>
      </w:tr>
    </w:tbl>
    <w:p w:rsidR="00C534B3" w:rsidRDefault="00C534B3" w:rsidP="005340A3">
      <w:pPr>
        <w:rPr>
          <w:rFonts w:ascii="Arial" w:hAnsi="Arial" w:cs="Arial"/>
          <w:b/>
        </w:rPr>
      </w:pPr>
    </w:p>
    <w:p w:rsidR="005340A3" w:rsidRPr="009123A0" w:rsidRDefault="005340A3" w:rsidP="005340A3">
      <w:pPr>
        <w:rPr>
          <w:rFonts w:ascii="Arial" w:hAnsi="Arial" w:cs="Arial"/>
          <w:b/>
        </w:rPr>
      </w:pPr>
      <w:r w:rsidRPr="009123A0">
        <w:rPr>
          <w:rFonts w:ascii="Arial" w:hAnsi="Arial" w:cs="Arial"/>
          <w:b/>
        </w:rPr>
        <w:t xml:space="preserve">5. Bonuses </w:t>
      </w:r>
    </w:p>
    <w:p w:rsidR="00050410" w:rsidRPr="009123A0" w:rsidRDefault="005340A3" w:rsidP="005340A3">
      <w:pPr>
        <w:rPr>
          <w:rFonts w:ascii="Arial" w:hAnsi="Arial" w:cs="Arial"/>
        </w:rPr>
      </w:pPr>
      <w:r w:rsidRPr="009123A0">
        <w:rPr>
          <w:rFonts w:ascii="Arial" w:hAnsi="Arial" w:cs="Arial"/>
        </w:rPr>
        <w:t>The only bonuses paid in the time frame covered by this Report (1st April 201</w:t>
      </w:r>
      <w:r w:rsidR="00D97E2C" w:rsidRPr="009123A0">
        <w:rPr>
          <w:rFonts w:ascii="Arial" w:hAnsi="Arial" w:cs="Arial"/>
        </w:rPr>
        <w:t>9</w:t>
      </w:r>
      <w:r w:rsidRPr="009123A0">
        <w:rPr>
          <w:rFonts w:ascii="Arial" w:hAnsi="Arial" w:cs="Arial"/>
        </w:rPr>
        <w:t xml:space="preserve"> to 31st </w:t>
      </w:r>
      <w:r w:rsidR="00B771E5">
        <w:t>M</w:t>
      </w:r>
      <w:r w:rsidRPr="009123A0">
        <w:rPr>
          <w:rFonts w:ascii="Arial" w:hAnsi="Arial" w:cs="Arial"/>
        </w:rPr>
        <w:t>arch 20</w:t>
      </w:r>
      <w:r w:rsidR="00D97E2C" w:rsidRPr="009123A0">
        <w:rPr>
          <w:rFonts w:ascii="Arial" w:hAnsi="Arial" w:cs="Arial"/>
        </w:rPr>
        <w:t>20</w:t>
      </w:r>
      <w:r w:rsidRPr="009123A0">
        <w:rPr>
          <w:rFonts w:ascii="Arial" w:hAnsi="Arial" w:cs="Arial"/>
        </w:rPr>
        <w:t>) were to Medical Consultants, in the form of C</w:t>
      </w:r>
      <w:r w:rsidR="00B771E5">
        <w:rPr>
          <w:rFonts w:ascii="Arial" w:hAnsi="Arial" w:cs="Arial"/>
        </w:rPr>
        <w:t xml:space="preserve">linical </w:t>
      </w:r>
      <w:r w:rsidRPr="009123A0">
        <w:rPr>
          <w:rFonts w:ascii="Arial" w:hAnsi="Arial" w:cs="Arial"/>
        </w:rPr>
        <w:t>E</w:t>
      </w:r>
      <w:r w:rsidR="00B771E5">
        <w:rPr>
          <w:rFonts w:ascii="Arial" w:hAnsi="Arial" w:cs="Arial"/>
        </w:rPr>
        <w:t xml:space="preserve">xcellence </w:t>
      </w:r>
      <w:r w:rsidRPr="009123A0">
        <w:rPr>
          <w:rFonts w:ascii="Arial" w:hAnsi="Arial" w:cs="Arial"/>
        </w:rPr>
        <w:t>A</w:t>
      </w:r>
      <w:r w:rsidR="00B771E5">
        <w:rPr>
          <w:rFonts w:ascii="Arial" w:hAnsi="Arial" w:cs="Arial"/>
        </w:rPr>
        <w:t>ward</w:t>
      </w:r>
      <w:r w:rsidRPr="009123A0">
        <w:rPr>
          <w:rFonts w:ascii="Arial" w:hAnsi="Arial" w:cs="Arial"/>
        </w:rPr>
        <w:t>s</w:t>
      </w:r>
      <w:r w:rsidR="00B771E5">
        <w:rPr>
          <w:rFonts w:ascii="Arial" w:hAnsi="Arial" w:cs="Arial"/>
        </w:rPr>
        <w:t xml:space="preserve"> (CEA’s)</w:t>
      </w:r>
      <w:r w:rsidRPr="009123A0">
        <w:rPr>
          <w:rFonts w:ascii="Arial" w:hAnsi="Arial" w:cs="Arial"/>
        </w:rPr>
        <w:t xml:space="preserve"> and distinction awards. There were 2</w:t>
      </w:r>
      <w:r w:rsidR="00D97E2C" w:rsidRPr="009123A0">
        <w:rPr>
          <w:rFonts w:ascii="Arial" w:hAnsi="Arial" w:cs="Arial"/>
        </w:rPr>
        <w:t>10</w:t>
      </w:r>
      <w:r w:rsidRPr="009123A0">
        <w:rPr>
          <w:rFonts w:ascii="Arial" w:hAnsi="Arial" w:cs="Arial"/>
        </w:rPr>
        <w:t xml:space="preserve"> bonuses paid in the period, </w:t>
      </w:r>
      <w:r w:rsidR="00D97E2C" w:rsidRPr="009123A0">
        <w:rPr>
          <w:rFonts w:ascii="Arial" w:hAnsi="Arial" w:cs="Arial"/>
        </w:rPr>
        <w:t>69</w:t>
      </w:r>
      <w:r w:rsidRPr="009123A0">
        <w:rPr>
          <w:rFonts w:ascii="Arial" w:hAnsi="Arial" w:cs="Arial"/>
        </w:rPr>
        <w:t xml:space="preserve"> were to female consultants and 1</w:t>
      </w:r>
      <w:r w:rsidR="00D97E2C" w:rsidRPr="009123A0">
        <w:rPr>
          <w:rFonts w:ascii="Arial" w:hAnsi="Arial" w:cs="Arial"/>
        </w:rPr>
        <w:t>41</w:t>
      </w:r>
      <w:r w:rsidRPr="009123A0">
        <w:rPr>
          <w:rFonts w:ascii="Arial" w:hAnsi="Arial" w:cs="Arial"/>
        </w:rPr>
        <w:t xml:space="preserve"> were to male consultants. When compared with the proportion of male Consultants to female Consultants, 6</w:t>
      </w:r>
      <w:r w:rsidR="00D97E2C" w:rsidRPr="009123A0">
        <w:rPr>
          <w:rFonts w:ascii="Arial" w:hAnsi="Arial" w:cs="Arial"/>
        </w:rPr>
        <w:t>7</w:t>
      </w:r>
      <w:r w:rsidRPr="009123A0">
        <w:rPr>
          <w:rFonts w:ascii="Arial" w:hAnsi="Arial" w:cs="Arial"/>
        </w:rPr>
        <w:t>% of bonuses were paid to male c</w:t>
      </w:r>
      <w:r w:rsidR="008E44CA" w:rsidRPr="009123A0">
        <w:rPr>
          <w:rFonts w:ascii="Arial" w:hAnsi="Arial" w:cs="Arial"/>
        </w:rPr>
        <w:t>onsultants when they make u</w:t>
      </w:r>
      <w:r w:rsidR="00D97E2C" w:rsidRPr="009123A0">
        <w:rPr>
          <w:rFonts w:ascii="Arial" w:hAnsi="Arial" w:cs="Arial"/>
        </w:rPr>
        <w:t>p 65% of all consultants, and 33</w:t>
      </w:r>
      <w:r w:rsidRPr="009123A0">
        <w:rPr>
          <w:rFonts w:ascii="Arial" w:hAnsi="Arial" w:cs="Arial"/>
        </w:rPr>
        <w:t xml:space="preserve">% were paid to female consultants, when female consultants make up </w:t>
      </w:r>
      <w:r w:rsidR="008E44CA" w:rsidRPr="009123A0">
        <w:rPr>
          <w:rFonts w:ascii="Arial" w:hAnsi="Arial" w:cs="Arial"/>
        </w:rPr>
        <w:t>3</w:t>
      </w:r>
      <w:r w:rsidR="00D97E2C" w:rsidRPr="009123A0">
        <w:rPr>
          <w:rFonts w:ascii="Arial" w:hAnsi="Arial" w:cs="Arial"/>
        </w:rPr>
        <w:t>5</w:t>
      </w:r>
      <w:r w:rsidRPr="009123A0">
        <w:rPr>
          <w:rFonts w:ascii="Arial" w:hAnsi="Arial" w:cs="Arial"/>
        </w:rPr>
        <w:t xml:space="preserve">% of all consultants. </w:t>
      </w:r>
    </w:p>
    <w:p w:rsidR="003A1F74" w:rsidRPr="00B771E5" w:rsidRDefault="003A1F74" w:rsidP="005340A3">
      <w:pPr>
        <w:rPr>
          <w:rFonts w:ascii="Arial" w:hAnsi="Arial" w:cs="Arial"/>
        </w:rPr>
      </w:pPr>
      <w:r w:rsidRPr="00B771E5">
        <w:rPr>
          <w:rFonts w:ascii="Arial" w:hAnsi="Arial" w:cs="Arial"/>
        </w:rPr>
        <w:t>Following efforts to encourage more female staff to apply for CEA over the last 3 years, the Mean GPG has reduced to 43% from 46.6% last year, and the Median has reduced to 40% from 61.6% in 2019.</w:t>
      </w:r>
    </w:p>
    <w:p w:rsidR="00311608" w:rsidRDefault="00B771E5" w:rsidP="00050410">
      <w:pPr>
        <w:rPr>
          <w:rFonts w:ascii="Arial" w:hAnsi="Arial" w:cs="Arial"/>
        </w:rPr>
      </w:pPr>
      <w:r>
        <w:rPr>
          <w:rFonts w:ascii="Arial" w:hAnsi="Arial" w:cs="Arial"/>
        </w:rPr>
        <w:t xml:space="preserve">NHS Employers recognise that </w:t>
      </w:r>
      <w:r w:rsidR="00311608">
        <w:rPr>
          <w:rFonts w:ascii="Arial" w:hAnsi="Arial" w:cs="Arial"/>
        </w:rPr>
        <w:t xml:space="preserve">the current local clinical excellence award system does not work and exacerbates inequalities for women, BME colleagues and those that work part-time.  In response to this a consultation commenced in September 2020 with a tripartite negotiating group, which includes the Department for Health and Social Care (DHSC) and the British Medical </w:t>
      </w:r>
      <w:r w:rsidR="004C6DDD">
        <w:rPr>
          <w:rFonts w:ascii="Arial" w:hAnsi="Arial" w:cs="Arial"/>
        </w:rPr>
        <w:t>Association (BMA) and the HCSA.  Further feedback on potential proposals is expected in April 2021.</w:t>
      </w:r>
    </w:p>
    <w:p w:rsidR="00320863" w:rsidRPr="009123A0" w:rsidRDefault="00D97E2C" w:rsidP="005340A3">
      <w:pPr>
        <w:rPr>
          <w:rFonts w:ascii="Arial" w:hAnsi="Arial" w:cs="Arial"/>
        </w:rPr>
      </w:pPr>
      <w:r w:rsidRPr="009123A0">
        <w:rPr>
          <w:rFonts w:ascii="Arial" w:hAnsi="Arial" w:cs="Arial"/>
          <w:noProof/>
          <w:lang w:eastAsia="en-GB"/>
        </w:rPr>
        <w:lastRenderedPageBreak/>
        <w:drawing>
          <wp:inline distT="0" distB="0" distL="0" distR="0" wp14:anchorId="668F7468" wp14:editId="28719B7D">
            <wp:extent cx="2628900" cy="242697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123A0">
        <w:rPr>
          <w:rFonts w:ascii="Arial" w:hAnsi="Arial" w:cs="Arial"/>
          <w:noProof/>
          <w:lang w:eastAsia="en-GB"/>
        </w:rPr>
        <w:drawing>
          <wp:inline distT="0" distB="0" distL="0" distR="0" wp14:anchorId="2966DEDB" wp14:editId="6A80463B">
            <wp:extent cx="2628900" cy="242697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2131C" w:rsidRPr="009123A0" w:rsidTr="00E2131C">
        <w:tc>
          <w:tcPr>
            <w:tcW w:w="4621" w:type="dxa"/>
          </w:tcPr>
          <w:p w:rsidR="00E2131C" w:rsidRPr="009123A0" w:rsidRDefault="00E2131C" w:rsidP="003A1F74">
            <w:pPr>
              <w:jc w:val="center"/>
              <w:rPr>
                <w:rFonts w:ascii="Arial" w:hAnsi="Arial" w:cs="Arial"/>
                <w:b/>
              </w:rPr>
            </w:pPr>
            <w:r w:rsidRPr="009123A0">
              <w:rPr>
                <w:rFonts w:ascii="Arial" w:hAnsi="Arial" w:cs="Arial"/>
                <w:b/>
              </w:rPr>
              <w:t xml:space="preserve">Mean gender pay gap, bonus – </w:t>
            </w:r>
            <w:r w:rsidR="003A1F74" w:rsidRPr="009123A0">
              <w:rPr>
                <w:rFonts w:ascii="Arial" w:hAnsi="Arial" w:cs="Arial"/>
                <w:b/>
              </w:rPr>
              <w:t>43.05</w:t>
            </w:r>
            <w:r w:rsidRPr="009123A0">
              <w:rPr>
                <w:rFonts w:ascii="Arial" w:hAnsi="Arial" w:cs="Arial"/>
                <w:b/>
              </w:rPr>
              <w:t>%</w:t>
            </w:r>
          </w:p>
        </w:tc>
        <w:tc>
          <w:tcPr>
            <w:tcW w:w="4621" w:type="dxa"/>
          </w:tcPr>
          <w:p w:rsidR="00E2131C" w:rsidRPr="009123A0" w:rsidRDefault="00E2131C" w:rsidP="003A1F74">
            <w:pPr>
              <w:jc w:val="center"/>
              <w:rPr>
                <w:rFonts w:ascii="Arial" w:hAnsi="Arial" w:cs="Arial"/>
                <w:b/>
              </w:rPr>
            </w:pPr>
            <w:r w:rsidRPr="009123A0">
              <w:rPr>
                <w:rFonts w:ascii="Arial" w:hAnsi="Arial" w:cs="Arial"/>
                <w:b/>
              </w:rPr>
              <w:t xml:space="preserve">Median gender pay gap, bonus – </w:t>
            </w:r>
            <w:r w:rsidR="003A1F74" w:rsidRPr="009123A0">
              <w:rPr>
                <w:rFonts w:ascii="Arial" w:hAnsi="Arial" w:cs="Arial"/>
                <w:b/>
              </w:rPr>
              <w:t>40.00</w:t>
            </w:r>
            <w:r w:rsidRPr="009123A0">
              <w:rPr>
                <w:rFonts w:ascii="Arial" w:hAnsi="Arial" w:cs="Arial"/>
                <w:b/>
              </w:rPr>
              <w:t>%</w:t>
            </w:r>
          </w:p>
        </w:tc>
      </w:tr>
    </w:tbl>
    <w:p w:rsidR="00C534B3" w:rsidRDefault="00C534B3" w:rsidP="00C534B3">
      <w:pPr>
        <w:rPr>
          <w:rFonts w:ascii="Arial" w:hAnsi="Arial" w:cs="Arial"/>
          <w:b/>
          <w:color w:val="000000" w:themeColor="text1"/>
          <w:u w:val="single"/>
        </w:rPr>
      </w:pPr>
    </w:p>
    <w:p w:rsidR="00C534B3" w:rsidRPr="00C534B3" w:rsidRDefault="00C534B3" w:rsidP="00C534B3">
      <w:pPr>
        <w:rPr>
          <w:rFonts w:ascii="Arial" w:hAnsi="Arial" w:cs="Arial"/>
          <w:b/>
          <w:color w:val="000000" w:themeColor="text1"/>
        </w:rPr>
      </w:pPr>
      <w:r w:rsidRPr="00C534B3">
        <w:rPr>
          <w:rFonts w:ascii="Arial" w:hAnsi="Arial" w:cs="Arial"/>
          <w:b/>
          <w:color w:val="000000" w:themeColor="text1"/>
        </w:rPr>
        <w:t>6. Conclusion</w:t>
      </w:r>
    </w:p>
    <w:p w:rsidR="00C534B3" w:rsidRDefault="00C534B3" w:rsidP="00C534B3">
      <w:pPr>
        <w:widowControl w:val="0"/>
        <w:contextualSpacing/>
        <w:jc w:val="both"/>
        <w:rPr>
          <w:rFonts w:ascii="Arial" w:hAnsi="Arial" w:cs="Arial"/>
          <w:color w:val="000000" w:themeColor="text1"/>
        </w:rPr>
      </w:pPr>
      <w:r w:rsidRPr="0067327A">
        <w:rPr>
          <w:rFonts w:ascii="Arial" w:hAnsi="Arial" w:cs="Arial"/>
          <w:color w:val="000000" w:themeColor="text1"/>
        </w:rPr>
        <w:t xml:space="preserve">The Gloucestershire Hospitals NHS Foundation Trust gender pay gap </w:t>
      </w:r>
      <w:r w:rsidRPr="00A26E5C">
        <w:rPr>
          <w:rFonts w:ascii="Arial" w:hAnsi="Arial" w:cs="Arial"/>
          <w:b/>
        </w:rPr>
        <w:t>at 31 March 2020</w:t>
      </w:r>
      <w:r>
        <w:rPr>
          <w:rFonts w:ascii="Arial" w:hAnsi="Arial" w:cs="Arial"/>
          <w:b/>
        </w:rPr>
        <w:t xml:space="preserve">, </w:t>
      </w:r>
      <w:r w:rsidRPr="0067327A">
        <w:rPr>
          <w:rFonts w:ascii="Arial" w:hAnsi="Arial" w:cs="Arial"/>
          <w:color w:val="000000" w:themeColor="text1"/>
        </w:rPr>
        <w:t>is reported at</w:t>
      </w:r>
      <w:r>
        <w:rPr>
          <w:rFonts w:ascii="Arial" w:hAnsi="Arial" w:cs="Arial"/>
          <w:color w:val="000000" w:themeColor="text1"/>
        </w:rPr>
        <w:t>:</w:t>
      </w:r>
    </w:p>
    <w:p w:rsidR="00C534B3" w:rsidRPr="00A26E5C" w:rsidRDefault="00C534B3" w:rsidP="00C534B3">
      <w:pPr>
        <w:pStyle w:val="ListParagraph"/>
        <w:numPr>
          <w:ilvl w:val="0"/>
          <w:numId w:val="4"/>
        </w:numPr>
        <w:jc w:val="both"/>
        <w:rPr>
          <w:rFonts w:ascii="Arial" w:hAnsi="Arial" w:cs="Arial"/>
          <w:b/>
        </w:rPr>
      </w:pPr>
      <w:r w:rsidRPr="00A26E5C">
        <w:rPr>
          <w:rFonts w:ascii="Arial" w:hAnsi="Arial" w:cs="Arial"/>
          <w:b/>
        </w:rPr>
        <w:t>Median gender pay gap, 19.8% in favour of male employees (20.3% in 2019)</w:t>
      </w:r>
    </w:p>
    <w:p w:rsidR="00C534B3" w:rsidRPr="0089289C" w:rsidRDefault="00C534B3" w:rsidP="0089289C">
      <w:pPr>
        <w:pStyle w:val="ListParagraph"/>
        <w:numPr>
          <w:ilvl w:val="0"/>
          <w:numId w:val="4"/>
        </w:numPr>
        <w:jc w:val="both"/>
        <w:rPr>
          <w:rFonts w:ascii="Arial" w:hAnsi="Arial" w:cs="Arial"/>
          <w:b/>
        </w:rPr>
      </w:pPr>
      <w:r w:rsidRPr="00A26E5C">
        <w:rPr>
          <w:rFonts w:ascii="Arial" w:hAnsi="Arial" w:cs="Arial"/>
          <w:b/>
        </w:rPr>
        <w:t>Mean gender pay gap, 28.6% in favour of male employees (29.4% in 2019)</w:t>
      </w:r>
    </w:p>
    <w:p w:rsidR="00C534B3" w:rsidRPr="0067327A" w:rsidRDefault="00C534B3" w:rsidP="00C534B3">
      <w:pPr>
        <w:widowControl w:val="0"/>
        <w:contextualSpacing/>
        <w:jc w:val="both"/>
        <w:rPr>
          <w:rFonts w:ascii="Arial" w:hAnsi="Arial" w:cs="Arial"/>
          <w:color w:val="000000" w:themeColor="text1"/>
        </w:rPr>
      </w:pPr>
      <w:r w:rsidRPr="0067327A">
        <w:rPr>
          <w:rFonts w:ascii="Arial" w:hAnsi="Arial" w:cs="Arial"/>
          <w:color w:val="000000" w:themeColor="text1"/>
        </w:rPr>
        <w:t xml:space="preserve">These figures reflect the combined gender pay gap of both medical and non-medical staff.  </w:t>
      </w:r>
    </w:p>
    <w:p w:rsidR="00C534B3" w:rsidRPr="0067327A" w:rsidRDefault="00C534B3" w:rsidP="00C534B3">
      <w:pPr>
        <w:widowControl w:val="0"/>
        <w:contextualSpacing/>
        <w:jc w:val="both"/>
        <w:rPr>
          <w:rFonts w:ascii="Arial" w:hAnsi="Arial" w:cs="Arial"/>
          <w:color w:val="000000" w:themeColor="text1"/>
        </w:rPr>
      </w:pPr>
    </w:p>
    <w:p w:rsidR="00C534B3" w:rsidRPr="0067327A" w:rsidRDefault="00C534B3" w:rsidP="00C534B3">
      <w:pPr>
        <w:widowControl w:val="0"/>
        <w:contextualSpacing/>
        <w:jc w:val="both"/>
        <w:rPr>
          <w:rFonts w:ascii="Arial" w:hAnsi="Arial" w:cs="Arial"/>
          <w:color w:val="000000" w:themeColor="text1"/>
        </w:rPr>
      </w:pPr>
      <w:r w:rsidRPr="0067327A">
        <w:rPr>
          <w:rFonts w:ascii="Arial" w:hAnsi="Arial" w:cs="Arial"/>
          <w:color w:val="000000" w:themeColor="text1"/>
        </w:rPr>
        <w:t xml:space="preserve">The People and OD Committee are asked to </w:t>
      </w:r>
      <w:r w:rsidRPr="0067327A">
        <w:rPr>
          <w:rFonts w:ascii="Arial" w:hAnsi="Arial" w:cs="Arial"/>
          <w:b/>
          <w:color w:val="000000" w:themeColor="text1"/>
        </w:rPr>
        <w:t>NOTE</w:t>
      </w:r>
      <w:r w:rsidRPr="0067327A">
        <w:rPr>
          <w:rFonts w:ascii="Arial" w:hAnsi="Arial" w:cs="Arial"/>
          <w:color w:val="000000" w:themeColor="text1"/>
        </w:rPr>
        <w:t xml:space="preserve"> that the gender pay gap can be objectively explained, when we consider the application of terms and conditions which are set nationally and reward length of service.  Furthermore, there is no significant Gender Pay Gap reported across our Non- Medical workforce, which accounts for </w:t>
      </w:r>
      <w:r>
        <w:rPr>
          <w:rFonts w:ascii="Arial" w:hAnsi="Arial" w:cs="Arial"/>
          <w:color w:val="000000" w:themeColor="text1"/>
        </w:rPr>
        <w:t>approximately 83%</w:t>
      </w:r>
      <w:r w:rsidRPr="0067327A">
        <w:rPr>
          <w:rFonts w:ascii="Arial" w:hAnsi="Arial" w:cs="Arial"/>
          <w:color w:val="000000" w:themeColor="text1"/>
        </w:rPr>
        <w:t xml:space="preserve"> of the total workforce as a result of the agenda for change framework.</w:t>
      </w:r>
    </w:p>
    <w:p w:rsidR="00C534B3" w:rsidRPr="00C534B3" w:rsidRDefault="00C534B3" w:rsidP="00C534B3">
      <w:pPr>
        <w:widowControl w:val="0"/>
        <w:contextualSpacing/>
        <w:jc w:val="both"/>
        <w:rPr>
          <w:rFonts w:ascii="Arial" w:hAnsi="Arial" w:cs="Arial"/>
          <w:color w:val="000000" w:themeColor="text1"/>
        </w:rPr>
      </w:pPr>
    </w:p>
    <w:p w:rsidR="00C534B3" w:rsidRPr="00C534B3" w:rsidRDefault="00C534B3" w:rsidP="00C534B3">
      <w:pPr>
        <w:rPr>
          <w:rFonts w:ascii="Arial" w:hAnsi="Arial" w:cs="Arial"/>
          <w:color w:val="000000" w:themeColor="text1"/>
        </w:rPr>
      </w:pPr>
      <w:r w:rsidRPr="00C534B3">
        <w:rPr>
          <w:rFonts w:ascii="Arial" w:hAnsi="Arial" w:cs="Arial"/>
          <w:color w:val="000000" w:themeColor="text1"/>
        </w:rPr>
        <w:t xml:space="preserve">With regard to the distribution of Clinical Excellence Awards, the Executive Team are asked to </w:t>
      </w:r>
      <w:r w:rsidRPr="00C534B3">
        <w:rPr>
          <w:rFonts w:ascii="Arial" w:hAnsi="Arial" w:cs="Arial"/>
          <w:b/>
          <w:color w:val="000000" w:themeColor="text1"/>
        </w:rPr>
        <w:t xml:space="preserve">NOTE </w:t>
      </w:r>
      <w:r w:rsidRPr="00C534B3">
        <w:rPr>
          <w:rFonts w:ascii="Arial" w:hAnsi="Arial" w:cs="Arial"/>
          <w:color w:val="000000" w:themeColor="text1"/>
        </w:rPr>
        <w:t>the trend reported in previous gender pay gap reports</w:t>
      </w:r>
      <w:r w:rsidRPr="00C534B3">
        <w:rPr>
          <w:rFonts w:ascii="Arial" w:hAnsi="Arial" w:cs="Arial"/>
          <w:b/>
          <w:color w:val="000000" w:themeColor="text1"/>
        </w:rPr>
        <w:t xml:space="preserve"> </w:t>
      </w:r>
      <w:r w:rsidRPr="00C534B3">
        <w:rPr>
          <w:rFonts w:ascii="Arial" w:hAnsi="Arial" w:cs="Arial"/>
          <w:color w:val="000000" w:themeColor="text1"/>
        </w:rPr>
        <w:t xml:space="preserve">associated with the proportion of male to female consultants receiving levels 8 and above. </w:t>
      </w:r>
    </w:p>
    <w:p w:rsidR="00C534B3" w:rsidRPr="00C534B3" w:rsidRDefault="00C534B3" w:rsidP="00C534B3">
      <w:pPr>
        <w:rPr>
          <w:rFonts w:ascii="Arial" w:hAnsi="Arial" w:cs="Arial"/>
          <w:color w:val="000000" w:themeColor="text1"/>
          <w:u w:val="single"/>
        </w:rPr>
      </w:pPr>
      <w:r w:rsidRPr="00C534B3">
        <w:rPr>
          <w:rFonts w:ascii="Arial" w:hAnsi="Arial" w:cs="Arial"/>
          <w:color w:val="000000" w:themeColor="text1"/>
        </w:rPr>
        <w:t xml:space="preserve">The gender pay report continues to evidence the assumption that the overarching pay gap is associated with length of service of a number of senior male Doctors; with further analysis demonstrating that the number of females both entering the Medical workforce and existing staff within pay quartiles 1-3 will lead to a reverse in this pay gap in future years.  The committee are therefore advised that as such, the current pay gap is </w:t>
      </w:r>
      <w:r>
        <w:rPr>
          <w:rFonts w:ascii="Arial" w:hAnsi="Arial" w:cs="Arial"/>
          <w:color w:val="000000" w:themeColor="text1"/>
        </w:rPr>
        <w:t>a consequence of the application nationally driven terms and conditions and clinical excellence awards</w:t>
      </w:r>
      <w:r w:rsidRPr="00C534B3">
        <w:rPr>
          <w:rFonts w:ascii="Arial" w:hAnsi="Arial" w:cs="Arial"/>
          <w:color w:val="000000" w:themeColor="text1"/>
        </w:rPr>
        <w:t xml:space="preserve">.  </w:t>
      </w:r>
    </w:p>
    <w:p w:rsidR="00C534B3" w:rsidRDefault="00C534B3" w:rsidP="0089289C">
      <w:pPr>
        <w:spacing w:after="0"/>
        <w:rPr>
          <w:rFonts w:ascii="Arial" w:hAnsi="Arial" w:cs="Arial"/>
        </w:rPr>
      </w:pPr>
      <w:r>
        <w:rPr>
          <w:rFonts w:ascii="Arial" w:hAnsi="Arial" w:cs="Arial"/>
        </w:rPr>
        <w:t>Alison Koeltgen</w:t>
      </w:r>
    </w:p>
    <w:p w:rsidR="00C534B3" w:rsidRDefault="00C534B3" w:rsidP="0089289C">
      <w:pPr>
        <w:spacing w:after="0"/>
        <w:rPr>
          <w:rFonts w:ascii="Arial" w:hAnsi="Arial" w:cs="Arial"/>
        </w:rPr>
      </w:pPr>
      <w:r>
        <w:rPr>
          <w:rFonts w:ascii="Arial" w:hAnsi="Arial" w:cs="Arial"/>
        </w:rPr>
        <w:t>Operational Director of People and OD</w:t>
      </w:r>
    </w:p>
    <w:sectPr w:rsidR="00C534B3" w:rsidSect="00BE61C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C40" w:rsidRDefault="00E13C40" w:rsidP="00A26E5C">
      <w:pPr>
        <w:spacing w:after="0" w:line="240" w:lineRule="auto"/>
      </w:pPr>
      <w:r>
        <w:separator/>
      </w:r>
    </w:p>
  </w:endnote>
  <w:endnote w:type="continuationSeparator" w:id="0">
    <w:p w:rsidR="00E13C40" w:rsidRDefault="00E13C40" w:rsidP="00A26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9C" w:rsidRDefault="0089289C">
    <w:pPr>
      <w:pStyle w:val="Footer"/>
    </w:pPr>
    <w:r>
      <w:t>Gender Pay Gap Report</w:t>
    </w:r>
  </w:p>
  <w:p w:rsidR="0089289C" w:rsidRDefault="0089289C">
    <w:pPr>
      <w:pStyle w:val="Footer"/>
    </w:pPr>
    <w:r>
      <w:t>People and OD Committee – February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C40" w:rsidRDefault="00E13C40" w:rsidP="00A26E5C">
      <w:pPr>
        <w:spacing w:after="0" w:line="240" w:lineRule="auto"/>
      </w:pPr>
      <w:r>
        <w:separator/>
      </w:r>
    </w:p>
  </w:footnote>
  <w:footnote w:type="continuationSeparator" w:id="0">
    <w:p w:rsidR="00E13C40" w:rsidRDefault="00E13C40" w:rsidP="00A26E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E5C" w:rsidRPr="00FB7DE9" w:rsidRDefault="00A26E5C" w:rsidP="00A26E5C">
    <w:pPr>
      <w:pStyle w:val="Header"/>
      <w:shd w:val="clear" w:color="auto" w:fill="F2F2F2" w:themeFill="background1" w:themeFillShade="F2"/>
      <w:ind w:right="981"/>
      <w:jc w:val="center"/>
      <w:rPr>
        <w:rFonts w:ascii="Arial" w:hAnsi="Arial" w:cs="Arial"/>
        <w:b/>
      </w:rPr>
    </w:pPr>
    <w:r w:rsidRPr="00FB7DE9">
      <w:rPr>
        <w:rFonts w:ascii="Arial" w:hAnsi="Arial" w:cs="Arial"/>
        <w:b/>
      </w:rPr>
      <w:t>GLOUCESTERSHIRE HOSPITALS NHS FOUNDATION TRUST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325EB"/>
    <w:multiLevelType w:val="multilevel"/>
    <w:tmpl w:val="A61282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4B51A57"/>
    <w:multiLevelType w:val="hybridMultilevel"/>
    <w:tmpl w:val="8208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3035CD"/>
    <w:multiLevelType w:val="hybridMultilevel"/>
    <w:tmpl w:val="863C35E0"/>
    <w:lvl w:ilvl="0" w:tplc="97D0AD1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50F63A7F"/>
    <w:multiLevelType w:val="hybridMultilevel"/>
    <w:tmpl w:val="AB9C03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1173205"/>
    <w:multiLevelType w:val="hybridMultilevel"/>
    <w:tmpl w:val="320675FE"/>
    <w:lvl w:ilvl="0" w:tplc="3C84E8C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46858A0"/>
    <w:multiLevelType w:val="hybridMultilevel"/>
    <w:tmpl w:val="E3F6D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2FE4686"/>
    <w:multiLevelType w:val="hybridMultilevel"/>
    <w:tmpl w:val="780A7B64"/>
    <w:lvl w:ilvl="0" w:tplc="97D0AD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C534F8C"/>
    <w:multiLevelType w:val="hybridMultilevel"/>
    <w:tmpl w:val="066C9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7"/>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FC4"/>
    <w:rsid w:val="000011AF"/>
    <w:rsid w:val="00025E0D"/>
    <w:rsid w:val="00037F63"/>
    <w:rsid w:val="00050410"/>
    <w:rsid w:val="000A64F1"/>
    <w:rsid w:val="001076D6"/>
    <w:rsid w:val="00145212"/>
    <w:rsid w:val="00154E37"/>
    <w:rsid w:val="00160A38"/>
    <w:rsid w:val="00170384"/>
    <w:rsid w:val="00170869"/>
    <w:rsid w:val="0017167E"/>
    <w:rsid w:val="001807E3"/>
    <w:rsid w:val="00181063"/>
    <w:rsid w:val="001C59F9"/>
    <w:rsid w:val="001C7B8A"/>
    <w:rsid w:val="001E3CC2"/>
    <w:rsid w:val="001F2D52"/>
    <w:rsid w:val="0020568D"/>
    <w:rsid w:val="00213E44"/>
    <w:rsid w:val="00284B39"/>
    <w:rsid w:val="002D6165"/>
    <w:rsid w:val="002E694A"/>
    <w:rsid w:val="00311608"/>
    <w:rsid w:val="00320863"/>
    <w:rsid w:val="00320A22"/>
    <w:rsid w:val="003239D5"/>
    <w:rsid w:val="00363908"/>
    <w:rsid w:val="003721DB"/>
    <w:rsid w:val="00381605"/>
    <w:rsid w:val="003937AB"/>
    <w:rsid w:val="003A1F74"/>
    <w:rsid w:val="003C537E"/>
    <w:rsid w:val="003D158B"/>
    <w:rsid w:val="003F5B0C"/>
    <w:rsid w:val="003F7B66"/>
    <w:rsid w:val="0040656B"/>
    <w:rsid w:val="004533C1"/>
    <w:rsid w:val="00486D1A"/>
    <w:rsid w:val="004906B9"/>
    <w:rsid w:val="004C574E"/>
    <w:rsid w:val="004C6DDD"/>
    <w:rsid w:val="00507991"/>
    <w:rsid w:val="00524736"/>
    <w:rsid w:val="005340A3"/>
    <w:rsid w:val="0057772D"/>
    <w:rsid w:val="0059166E"/>
    <w:rsid w:val="00597D36"/>
    <w:rsid w:val="005F3F67"/>
    <w:rsid w:val="00600DF7"/>
    <w:rsid w:val="006019A4"/>
    <w:rsid w:val="00643F66"/>
    <w:rsid w:val="006561E9"/>
    <w:rsid w:val="0067327A"/>
    <w:rsid w:val="006742D0"/>
    <w:rsid w:val="0068695E"/>
    <w:rsid w:val="00692F00"/>
    <w:rsid w:val="006B0B7C"/>
    <w:rsid w:val="006C09EF"/>
    <w:rsid w:val="006C3BA6"/>
    <w:rsid w:val="00703158"/>
    <w:rsid w:val="00706F31"/>
    <w:rsid w:val="0070713C"/>
    <w:rsid w:val="00763CEC"/>
    <w:rsid w:val="00792D31"/>
    <w:rsid w:val="007D5272"/>
    <w:rsid w:val="00811759"/>
    <w:rsid w:val="00847259"/>
    <w:rsid w:val="0089289C"/>
    <w:rsid w:val="008C5FC4"/>
    <w:rsid w:val="008E44CA"/>
    <w:rsid w:val="0091007A"/>
    <w:rsid w:val="009123A0"/>
    <w:rsid w:val="009260AA"/>
    <w:rsid w:val="00946FF2"/>
    <w:rsid w:val="00993FC3"/>
    <w:rsid w:val="009A4AAE"/>
    <w:rsid w:val="009C2125"/>
    <w:rsid w:val="009E6580"/>
    <w:rsid w:val="009E7F02"/>
    <w:rsid w:val="009F23AF"/>
    <w:rsid w:val="00A26E5C"/>
    <w:rsid w:val="00A50357"/>
    <w:rsid w:val="00A517AC"/>
    <w:rsid w:val="00A560F0"/>
    <w:rsid w:val="00A645F3"/>
    <w:rsid w:val="00A7118F"/>
    <w:rsid w:val="00A73F5A"/>
    <w:rsid w:val="00A908DD"/>
    <w:rsid w:val="00AC7F79"/>
    <w:rsid w:val="00AE473C"/>
    <w:rsid w:val="00AE598B"/>
    <w:rsid w:val="00AF3706"/>
    <w:rsid w:val="00AF6A3B"/>
    <w:rsid w:val="00B072D9"/>
    <w:rsid w:val="00B10726"/>
    <w:rsid w:val="00B43DC3"/>
    <w:rsid w:val="00B6444A"/>
    <w:rsid w:val="00B678DB"/>
    <w:rsid w:val="00B771E5"/>
    <w:rsid w:val="00B874B4"/>
    <w:rsid w:val="00BA50FF"/>
    <w:rsid w:val="00BD5F6B"/>
    <w:rsid w:val="00BE61C7"/>
    <w:rsid w:val="00C16A88"/>
    <w:rsid w:val="00C519BE"/>
    <w:rsid w:val="00C534B3"/>
    <w:rsid w:val="00CC3A5E"/>
    <w:rsid w:val="00CD197A"/>
    <w:rsid w:val="00CE67B9"/>
    <w:rsid w:val="00CE75E0"/>
    <w:rsid w:val="00D30C71"/>
    <w:rsid w:val="00D40561"/>
    <w:rsid w:val="00D56577"/>
    <w:rsid w:val="00D64639"/>
    <w:rsid w:val="00D97E2C"/>
    <w:rsid w:val="00DC3B79"/>
    <w:rsid w:val="00DC6EE9"/>
    <w:rsid w:val="00E13C40"/>
    <w:rsid w:val="00E15314"/>
    <w:rsid w:val="00E2131C"/>
    <w:rsid w:val="00E37113"/>
    <w:rsid w:val="00E6603D"/>
    <w:rsid w:val="00E81172"/>
    <w:rsid w:val="00E8703E"/>
    <w:rsid w:val="00EA547E"/>
    <w:rsid w:val="00EA5518"/>
    <w:rsid w:val="00ED6CC4"/>
    <w:rsid w:val="00EE3205"/>
    <w:rsid w:val="00F015B2"/>
    <w:rsid w:val="00F065BA"/>
    <w:rsid w:val="00F1103C"/>
    <w:rsid w:val="00F22957"/>
    <w:rsid w:val="00F30582"/>
    <w:rsid w:val="00F52B6F"/>
    <w:rsid w:val="00F5613F"/>
    <w:rsid w:val="00F6589E"/>
    <w:rsid w:val="00FB3F39"/>
    <w:rsid w:val="00FB7DE9"/>
    <w:rsid w:val="00FC237D"/>
    <w:rsid w:val="00FC2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C5FC4"/>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284B39"/>
    <w:pPr>
      <w:spacing w:after="0" w:line="240" w:lineRule="auto"/>
    </w:pPr>
  </w:style>
  <w:style w:type="paragraph" w:styleId="ListParagraph">
    <w:name w:val="List Paragraph"/>
    <w:basedOn w:val="Normal"/>
    <w:link w:val="ListParagraphChar"/>
    <w:uiPriority w:val="34"/>
    <w:qFormat/>
    <w:rsid w:val="00284B39"/>
    <w:pPr>
      <w:ind w:left="720"/>
      <w:contextualSpacing/>
    </w:pPr>
  </w:style>
  <w:style w:type="paragraph" w:styleId="BalloonText">
    <w:name w:val="Balloon Text"/>
    <w:basedOn w:val="Normal"/>
    <w:link w:val="BalloonTextChar"/>
    <w:uiPriority w:val="99"/>
    <w:semiHidden/>
    <w:unhideWhenUsed/>
    <w:rsid w:val="00686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95E"/>
    <w:rPr>
      <w:rFonts w:ascii="Tahoma" w:hAnsi="Tahoma" w:cs="Tahoma"/>
      <w:sz w:val="16"/>
      <w:szCs w:val="16"/>
    </w:rPr>
  </w:style>
  <w:style w:type="table" w:styleId="TableGrid">
    <w:name w:val="Table Grid"/>
    <w:basedOn w:val="TableNormal"/>
    <w:uiPriority w:val="59"/>
    <w:rsid w:val="00792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23A0"/>
    <w:rPr>
      <w:sz w:val="16"/>
      <w:szCs w:val="16"/>
    </w:rPr>
  </w:style>
  <w:style w:type="paragraph" w:styleId="CommentText">
    <w:name w:val="annotation text"/>
    <w:basedOn w:val="Normal"/>
    <w:link w:val="CommentTextChar"/>
    <w:uiPriority w:val="99"/>
    <w:semiHidden/>
    <w:unhideWhenUsed/>
    <w:rsid w:val="009123A0"/>
    <w:pPr>
      <w:spacing w:line="240" w:lineRule="auto"/>
    </w:pPr>
    <w:rPr>
      <w:sz w:val="20"/>
      <w:szCs w:val="20"/>
    </w:rPr>
  </w:style>
  <w:style w:type="character" w:customStyle="1" w:styleId="CommentTextChar">
    <w:name w:val="Comment Text Char"/>
    <w:basedOn w:val="DefaultParagraphFont"/>
    <w:link w:val="CommentText"/>
    <w:uiPriority w:val="99"/>
    <w:semiHidden/>
    <w:rsid w:val="009123A0"/>
    <w:rPr>
      <w:sz w:val="20"/>
      <w:szCs w:val="20"/>
    </w:rPr>
  </w:style>
  <w:style w:type="character" w:customStyle="1" w:styleId="ListParagraphChar">
    <w:name w:val="List Paragraph Char"/>
    <w:basedOn w:val="DefaultParagraphFont"/>
    <w:link w:val="ListParagraph"/>
    <w:uiPriority w:val="34"/>
    <w:locked/>
    <w:rsid w:val="009123A0"/>
  </w:style>
  <w:style w:type="paragraph" w:styleId="Header">
    <w:name w:val="header"/>
    <w:basedOn w:val="Normal"/>
    <w:link w:val="HeaderChar"/>
    <w:uiPriority w:val="99"/>
    <w:unhideWhenUsed/>
    <w:rsid w:val="00A26E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E5C"/>
  </w:style>
  <w:style w:type="paragraph" w:styleId="Footer">
    <w:name w:val="footer"/>
    <w:basedOn w:val="Normal"/>
    <w:link w:val="FooterChar"/>
    <w:uiPriority w:val="99"/>
    <w:unhideWhenUsed/>
    <w:rsid w:val="00A26E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E5C"/>
  </w:style>
  <w:style w:type="paragraph" w:styleId="CommentSubject">
    <w:name w:val="annotation subject"/>
    <w:basedOn w:val="CommentText"/>
    <w:next w:val="CommentText"/>
    <w:link w:val="CommentSubjectChar"/>
    <w:uiPriority w:val="99"/>
    <w:semiHidden/>
    <w:unhideWhenUsed/>
    <w:rsid w:val="00763CEC"/>
    <w:rPr>
      <w:b/>
      <w:bCs/>
    </w:rPr>
  </w:style>
  <w:style w:type="character" w:customStyle="1" w:styleId="CommentSubjectChar">
    <w:name w:val="Comment Subject Char"/>
    <w:basedOn w:val="CommentTextChar"/>
    <w:link w:val="CommentSubject"/>
    <w:uiPriority w:val="99"/>
    <w:semiHidden/>
    <w:rsid w:val="00763CEC"/>
    <w:rPr>
      <w:b/>
      <w:bCs/>
      <w:sz w:val="20"/>
      <w:szCs w:val="20"/>
    </w:rPr>
  </w:style>
  <w:style w:type="character" w:styleId="Hyperlink">
    <w:name w:val="Hyperlink"/>
    <w:basedOn w:val="DefaultParagraphFont"/>
    <w:uiPriority w:val="99"/>
    <w:semiHidden/>
    <w:unhideWhenUsed/>
    <w:rsid w:val="0031160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C5FC4"/>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284B39"/>
    <w:pPr>
      <w:spacing w:after="0" w:line="240" w:lineRule="auto"/>
    </w:pPr>
  </w:style>
  <w:style w:type="paragraph" w:styleId="ListParagraph">
    <w:name w:val="List Paragraph"/>
    <w:basedOn w:val="Normal"/>
    <w:link w:val="ListParagraphChar"/>
    <w:uiPriority w:val="34"/>
    <w:qFormat/>
    <w:rsid w:val="00284B39"/>
    <w:pPr>
      <w:ind w:left="720"/>
      <w:contextualSpacing/>
    </w:pPr>
  </w:style>
  <w:style w:type="paragraph" w:styleId="BalloonText">
    <w:name w:val="Balloon Text"/>
    <w:basedOn w:val="Normal"/>
    <w:link w:val="BalloonTextChar"/>
    <w:uiPriority w:val="99"/>
    <w:semiHidden/>
    <w:unhideWhenUsed/>
    <w:rsid w:val="00686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95E"/>
    <w:rPr>
      <w:rFonts w:ascii="Tahoma" w:hAnsi="Tahoma" w:cs="Tahoma"/>
      <w:sz w:val="16"/>
      <w:szCs w:val="16"/>
    </w:rPr>
  </w:style>
  <w:style w:type="table" w:styleId="TableGrid">
    <w:name w:val="Table Grid"/>
    <w:basedOn w:val="TableNormal"/>
    <w:uiPriority w:val="59"/>
    <w:rsid w:val="00792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23A0"/>
    <w:rPr>
      <w:sz w:val="16"/>
      <w:szCs w:val="16"/>
    </w:rPr>
  </w:style>
  <w:style w:type="paragraph" w:styleId="CommentText">
    <w:name w:val="annotation text"/>
    <w:basedOn w:val="Normal"/>
    <w:link w:val="CommentTextChar"/>
    <w:uiPriority w:val="99"/>
    <w:semiHidden/>
    <w:unhideWhenUsed/>
    <w:rsid w:val="009123A0"/>
    <w:pPr>
      <w:spacing w:line="240" w:lineRule="auto"/>
    </w:pPr>
    <w:rPr>
      <w:sz w:val="20"/>
      <w:szCs w:val="20"/>
    </w:rPr>
  </w:style>
  <w:style w:type="character" w:customStyle="1" w:styleId="CommentTextChar">
    <w:name w:val="Comment Text Char"/>
    <w:basedOn w:val="DefaultParagraphFont"/>
    <w:link w:val="CommentText"/>
    <w:uiPriority w:val="99"/>
    <w:semiHidden/>
    <w:rsid w:val="009123A0"/>
    <w:rPr>
      <w:sz w:val="20"/>
      <w:szCs w:val="20"/>
    </w:rPr>
  </w:style>
  <w:style w:type="character" w:customStyle="1" w:styleId="ListParagraphChar">
    <w:name w:val="List Paragraph Char"/>
    <w:basedOn w:val="DefaultParagraphFont"/>
    <w:link w:val="ListParagraph"/>
    <w:uiPriority w:val="34"/>
    <w:locked/>
    <w:rsid w:val="009123A0"/>
  </w:style>
  <w:style w:type="paragraph" w:styleId="Header">
    <w:name w:val="header"/>
    <w:basedOn w:val="Normal"/>
    <w:link w:val="HeaderChar"/>
    <w:uiPriority w:val="99"/>
    <w:unhideWhenUsed/>
    <w:rsid w:val="00A26E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6E5C"/>
  </w:style>
  <w:style w:type="paragraph" w:styleId="Footer">
    <w:name w:val="footer"/>
    <w:basedOn w:val="Normal"/>
    <w:link w:val="FooterChar"/>
    <w:uiPriority w:val="99"/>
    <w:unhideWhenUsed/>
    <w:rsid w:val="00A26E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6E5C"/>
  </w:style>
  <w:style w:type="paragraph" w:styleId="CommentSubject">
    <w:name w:val="annotation subject"/>
    <w:basedOn w:val="CommentText"/>
    <w:next w:val="CommentText"/>
    <w:link w:val="CommentSubjectChar"/>
    <w:uiPriority w:val="99"/>
    <w:semiHidden/>
    <w:unhideWhenUsed/>
    <w:rsid w:val="00763CEC"/>
    <w:rPr>
      <w:b/>
      <w:bCs/>
    </w:rPr>
  </w:style>
  <w:style w:type="character" w:customStyle="1" w:styleId="CommentSubjectChar">
    <w:name w:val="Comment Subject Char"/>
    <w:basedOn w:val="CommentTextChar"/>
    <w:link w:val="CommentSubject"/>
    <w:uiPriority w:val="99"/>
    <w:semiHidden/>
    <w:rsid w:val="00763CEC"/>
    <w:rPr>
      <w:b/>
      <w:bCs/>
      <w:sz w:val="20"/>
      <w:szCs w:val="20"/>
    </w:rPr>
  </w:style>
  <w:style w:type="character" w:styleId="Hyperlink">
    <w:name w:val="Hyperlink"/>
    <w:basedOn w:val="DefaultParagraphFont"/>
    <w:uiPriority w:val="99"/>
    <w:semiHidden/>
    <w:unhideWhenUsed/>
    <w:rsid w:val="003116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44526">
      <w:bodyDiv w:val="1"/>
      <w:marLeft w:val="0"/>
      <w:marRight w:val="0"/>
      <w:marTop w:val="0"/>
      <w:marBottom w:val="0"/>
      <w:divBdr>
        <w:top w:val="none" w:sz="0" w:space="0" w:color="auto"/>
        <w:left w:val="none" w:sz="0" w:space="0" w:color="auto"/>
        <w:bottom w:val="none" w:sz="0" w:space="0" w:color="auto"/>
        <w:right w:val="none" w:sz="0" w:space="0" w:color="auto"/>
      </w:divBdr>
    </w:div>
    <w:div w:id="256254167">
      <w:bodyDiv w:val="1"/>
      <w:marLeft w:val="0"/>
      <w:marRight w:val="0"/>
      <w:marTop w:val="0"/>
      <w:marBottom w:val="0"/>
      <w:divBdr>
        <w:top w:val="none" w:sz="0" w:space="0" w:color="auto"/>
        <w:left w:val="none" w:sz="0" w:space="0" w:color="auto"/>
        <w:bottom w:val="none" w:sz="0" w:space="0" w:color="auto"/>
        <w:right w:val="none" w:sz="0" w:space="0" w:color="auto"/>
      </w:divBdr>
    </w:div>
    <w:div w:id="377321508">
      <w:bodyDiv w:val="1"/>
      <w:marLeft w:val="0"/>
      <w:marRight w:val="0"/>
      <w:marTop w:val="0"/>
      <w:marBottom w:val="0"/>
      <w:divBdr>
        <w:top w:val="none" w:sz="0" w:space="0" w:color="auto"/>
        <w:left w:val="none" w:sz="0" w:space="0" w:color="auto"/>
        <w:bottom w:val="none" w:sz="0" w:space="0" w:color="auto"/>
        <w:right w:val="none" w:sz="0" w:space="0" w:color="auto"/>
      </w:divBdr>
    </w:div>
    <w:div w:id="482701834">
      <w:bodyDiv w:val="1"/>
      <w:marLeft w:val="0"/>
      <w:marRight w:val="0"/>
      <w:marTop w:val="0"/>
      <w:marBottom w:val="0"/>
      <w:divBdr>
        <w:top w:val="none" w:sz="0" w:space="0" w:color="auto"/>
        <w:left w:val="none" w:sz="0" w:space="0" w:color="auto"/>
        <w:bottom w:val="none" w:sz="0" w:space="0" w:color="auto"/>
        <w:right w:val="none" w:sz="0" w:space="0" w:color="auto"/>
      </w:divBdr>
    </w:div>
    <w:div w:id="1073743659">
      <w:bodyDiv w:val="1"/>
      <w:marLeft w:val="0"/>
      <w:marRight w:val="0"/>
      <w:marTop w:val="0"/>
      <w:marBottom w:val="0"/>
      <w:divBdr>
        <w:top w:val="none" w:sz="0" w:space="0" w:color="auto"/>
        <w:left w:val="none" w:sz="0" w:space="0" w:color="auto"/>
        <w:bottom w:val="none" w:sz="0" w:space="0" w:color="auto"/>
        <w:right w:val="none" w:sz="0" w:space="0" w:color="auto"/>
      </w:divBdr>
    </w:div>
    <w:div w:id="1631861928">
      <w:bodyDiv w:val="1"/>
      <w:marLeft w:val="0"/>
      <w:marRight w:val="0"/>
      <w:marTop w:val="0"/>
      <w:marBottom w:val="0"/>
      <w:divBdr>
        <w:top w:val="none" w:sz="0" w:space="0" w:color="auto"/>
        <w:left w:val="none" w:sz="0" w:space="0" w:color="auto"/>
        <w:bottom w:val="none" w:sz="0" w:space="0" w:color="auto"/>
        <w:right w:val="none" w:sz="0" w:space="0" w:color="auto"/>
      </w:divBdr>
    </w:div>
    <w:div w:id="1762289836">
      <w:bodyDiv w:val="1"/>
      <w:marLeft w:val="0"/>
      <w:marRight w:val="0"/>
      <w:marTop w:val="0"/>
      <w:marBottom w:val="0"/>
      <w:divBdr>
        <w:top w:val="none" w:sz="0" w:space="0" w:color="auto"/>
        <w:left w:val="none" w:sz="0" w:space="0" w:color="auto"/>
        <w:bottom w:val="none" w:sz="0" w:space="0" w:color="auto"/>
        <w:right w:val="none" w:sz="0" w:space="0" w:color="auto"/>
      </w:divBdr>
    </w:div>
    <w:div w:id="205396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los.nhs.uk\ghnhst\Workforce\Gender%20pay%20gap\2020\NHS%20Gender%20Pay%20Gap%20Ordinary%20Pay%20by%20Person%20MAR19%20inc%20GMS%20NO%20CE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0"/>
            <c:bubble3D val="0"/>
            <c:spPr>
              <a:solidFill>
                <a:schemeClr val="accent2"/>
              </a:solidFill>
            </c:spPr>
          </c:dPt>
          <c:dPt>
            <c:idx val="1"/>
            <c:bubble3D val="0"/>
            <c:spPr>
              <a:solidFill>
                <a:schemeClr val="accent1"/>
              </a:solidFill>
            </c:spPr>
          </c:dPt>
          <c:dLbls>
            <c:dLbl>
              <c:idx val="0"/>
              <c:layout>
                <c:manualLayout>
                  <c:x val="0.16944444444444445"/>
                  <c:y val="-0.58796296296296291"/>
                </c:manualLayout>
              </c:layout>
              <c:tx>
                <c:rich>
                  <a:bodyPr/>
                  <a:lstStyle/>
                  <a:p>
                    <a:r>
                      <a:rPr lang="en-US" sz="1400" b="1"/>
                      <a:t>Female</a:t>
                    </a:r>
                  </a:p>
                  <a:p>
                    <a:r>
                      <a:rPr lang="en-US" sz="1400" b="1"/>
                      <a:t>81%</a:t>
                    </a:r>
                    <a:endParaRPr lang="en-US"/>
                  </a:p>
                </c:rich>
              </c:tx>
              <c:showLegendKey val="0"/>
              <c:showVal val="1"/>
              <c:showCatName val="0"/>
              <c:showSerName val="0"/>
              <c:showPercent val="0"/>
              <c:showBubbleSize val="0"/>
              <c:separator>
</c:separator>
            </c:dLbl>
            <c:dLbl>
              <c:idx val="1"/>
              <c:layout>
                <c:manualLayout>
                  <c:x val="-0.12499999999999997"/>
                  <c:y val="-0.12037037037037035"/>
                </c:manualLayout>
              </c:layout>
              <c:tx>
                <c:rich>
                  <a:bodyPr/>
                  <a:lstStyle/>
                  <a:p>
                    <a:r>
                      <a:rPr lang="en-US" sz="1400" b="1"/>
                      <a:t>Male</a:t>
                    </a:r>
                  </a:p>
                  <a:p>
                    <a:r>
                      <a:rPr lang="en-US" sz="1400" b="1"/>
                      <a:t>19%</a:t>
                    </a:r>
                    <a:endParaRPr lang="en-US"/>
                  </a:p>
                </c:rich>
              </c:tx>
              <c:showLegendKey val="1"/>
              <c:showVal val="1"/>
              <c:showCatName val="0"/>
              <c:showSerName val="0"/>
              <c:showPercent val="0"/>
              <c:showBubbleSize val="0"/>
              <c:separator>
</c:separator>
            </c:dLbl>
            <c:txPr>
              <a:bodyPr/>
              <a:lstStyle/>
              <a:p>
                <a:pPr>
                  <a:defRPr sz="1400" b="1"/>
                </a:pPr>
                <a:endParaRPr lang="en-US"/>
              </a:p>
            </c:txPr>
            <c:showLegendKey val="1"/>
            <c:showVal val="1"/>
            <c:showCatName val="0"/>
            <c:showSerName val="0"/>
            <c:showPercent val="0"/>
            <c:showBubbleSize val="0"/>
            <c:separator>
</c:separator>
            <c:showLeaderLines val="1"/>
          </c:dLbls>
          <c:cat>
            <c:strRef>
              <c:f>Summary!$I$2:$J$2</c:f>
              <c:strCache>
                <c:ptCount val="2"/>
                <c:pt idx="0">
                  <c:v>Female %</c:v>
                </c:pt>
                <c:pt idx="1">
                  <c:v>Male %</c:v>
                </c:pt>
              </c:strCache>
            </c:strRef>
          </c:cat>
          <c:val>
            <c:numRef>
              <c:f>Summary!$I$7:$J$7</c:f>
              <c:numCache>
                <c:formatCode>0.00%</c:formatCode>
                <c:ptCount val="2"/>
                <c:pt idx="0">
                  <c:v>0.80953621677957266</c:v>
                </c:pt>
                <c:pt idx="1">
                  <c:v>0.19046378322042731</c:v>
                </c:pt>
              </c:numCache>
            </c:numRef>
          </c:val>
        </c:ser>
        <c:dLbls>
          <c:showLegendKey val="0"/>
          <c:showVal val="1"/>
          <c:showCatName val="0"/>
          <c:showSerName val="0"/>
          <c:showPercent val="0"/>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en-GB" sz="1200" baseline="0"/>
              <a:t>Percentage of gender in Pay Quartiles  All Medical Staff</a:t>
            </a:r>
          </a:p>
        </c:rich>
      </c:tx>
      <c:layout/>
      <c:overlay val="0"/>
    </c:title>
    <c:autoTitleDeleted val="0"/>
    <c:plotArea>
      <c:layout/>
      <c:barChart>
        <c:barDir val="bar"/>
        <c:grouping val="clustered"/>
        <c:varyColors val="0"/>
        <c:ser>
          <c:idx val="0"/>
          <c:order val="0"/>
          <c:tx>
            <c:strRef>
              <c:f>'Medics only St G report'!$F$2</c:f>
              <c:strCache>
                <c:ptCount val="1"/>
                <c:pt idx="0">
                  <c:v>Female %</c:v>
                </c:pt>
              </c:strCache>
            </c:strRef>
          </c:tx>
          <c:spPr>
            <a:solidFill>
              <a:srgbClr val="C00000"/>
            </a:solidFill>
          </c:spPr>
          <c:invertIfNegative val="0"/>
          <c:dLbls>
            <c:txPr>
              <a:bodyPr/>
              <a:lstStyle/>
              <a:p>
                <a:pPr>
                  <a:defRPr sz="800" b="1" i="0" baseline="0">
                    <a:solidFill>
                      <a:schemeClr val="bg1"/>
                    </a:solidFill>
                  </a:defRPr>
                </a:pPr>
                <a:endParaRPr lang="en-US"/>
              </a:p>
            </c:txPr>
            <c:dLblPos val="inEnd"/>
            <c:showLegendKey val="0"/>
            <c:showVal val="1"/>
            <c:showCatName val="0"/>
            <c:showSerName val="0"/>
            <c:showPercent val="0"/>
            <c:showBubbleSize val="0"/>
            <c:showLeaderLines val="0"/>
          </c:dLbls>
          <c:cat>
            <c:strRef>
              <c:f>'Medics only St G report'!$E$3:$E$6</c:f>
              <c:strCache>
                <c:ptCount val="4"/>
                <c:pt idx="0">
                  <c:v>Lower Quartile</c:v>
                </c:pt>
                <c:pt idx="1">
                  <c:v>Lower Middle Quartile</c:v>
                </c:pt>
                <c:pt idx="2">
                  <c:v>Upper Middle Quartile</c:v>
                </c:pt>
                <c:pt idx="3">
                  <c:v>Upper Quartile</c:v>
                </c:pt>
              </c:strCache>
            </c:strRef>
          </c:cat>
          <c:val>
            <c:numRef>
              <c:f>'Medics only St G report'!$F$3:$F$6</c:f>
              <c:numCache>
                <c:formatCode>0.0%</c:formatCode>
                <c:ptCount val="4"/>
                <c:pt idx="0">
                  <c:v>0.64039999999999997</c:v>
                </c:pt>
                <c:pt idx="1">
                  <c:v>0.59450000000000003</c:v>
                </c:pt>
                <c:pt idx="2">
                  <c:v>0.60440000000000005</c:v>
                </c:pt>
                <c:pt idx="3">
                  <c:v>0.34489999999999998</c:v>
                </c:pt>
              </c:numCache>
            </c:numRef>
          </c:val>
        </c:ser>
        <c:ser>
          <c:idx val="1"/>
          <c:order val="1"/>
          <c:tx>
            <c:strRef>
              <c:f>'Medics only St G report'!$G$2</c:f>
              <c:strCache>
                <c:ptCount val="1"/>
                <c:pt idx="0">
                  <c:v>Male %</c:v>
                </c:pt>
              </c:strCache>
            </c:strRef>
          </c:tx>
          <c:spPr>
            <a:solidFill>
              <a:schemeClr val="accent1"/>
            </a:solidFill>
          </c:spPr>
          <c:invertIfNegative val="0"/>
          <c:dLbls>
            <c:numFmt formatCode="0.0%" sourceLinked="0"/>
            <c:txPr>
              <a:bodyPr/>
              <a:lstStyle/>
              <a:p>
                <a:pPr>
                  <a:defRPr sz="800" b="1" i="0" baseline="0">
                    <a:solidFill>
                      <a:schemeClr val="bg1"/>
                    </a:solidFill>
                  </a:defRPr>
                </a:pPr>
                <a:endParaRPr lang="en-US"/>
              </a:p>
            </c:txPr>
            <c:dLblPos val="inEnd"/>
            <c:showLegendKey val="0"/>
            <c:showVal val="1"/>
            <c:showCatName val="0"/>
            <c:showSerName val="0"/>
            <c:showPercent val="0"/>
            <c:showBubbleSize val="0"/>
            <c:showLeaderLines val="0"/>
          </c:dLbls>
          <c:cat>
            <c:strRef>
              <c:f>'Medics only St G report'!$E$3:$E$6</c:f>
              <c:strCache>
                <c:ptCount val="4"/>
                <c:pt idx="0">
                  <c:v>Lower Quartile</c:v>
                </c:pt>
                <c:pt idx="1">
                  <c:v>Lower Middle Quartile</c:v>
                </c:pt>
                <c:pt idx="2">
                  <c:v>Upper Middle Quartile</c:v>
                </c:pt>
                <c:pt idx="3">
                  <c:v>Upper Quartile</c:v>
                </c:pt>
              </c:strCache>
            </c:strRef>
          </c:cat>
          <c:val>
            <c:numRef>
              <c:f>'Medics only St G report'!$G$3:$G$6</c:f>
              <c:numCache>
                <c:formatCode>0.0%</c:formatCode>
                <c:ptCount val="4"/>
                <c:pt idx="0">
                  <c:v>0.35959999999999998</c:v>
                </c:pt>
                <c:pt idx="1">
                  <c:v>0.40550000000000003</c:v>
                </c:pt>
                <c:pt idx="2">
                  <c:v>0.39560000000000001</c:v>
                </c:pt>
                <c:pt idx="3">
                  <c:v>0.65510000000000002</c:v>
                </c:pt>
              </c:numCache>
            </c:numRef>
          </c:val>
        </c:ser>
        <c:dLbls>
          <c:showLegendKey val="0"/>
          <c:showVal val="0"/>
          <c:showCatName val="0"/>
          <c:showSerName val="0"/>
          <c:showPercent val="0"/>
          <c:showBubbleSize val="0"/>
        </c:dLbls>
        <c:gapWidth val="24"/>
        <c:axId val="100999552"/>
        <c:axId val="101001088"/>
      </c:barChart>
      <c:catAx>
        <c:axId val="100999552"/>
        <c:scaling>
          <c:orientation val="maxMin"/>
        </c:scaling>
        <c:delete val="0"/>
        <c:axPos val="l"/>
        <c:majorTickMark val="out"/>
        <c:minorTickMark val="none"/>
        <c:tickLblPos val="nextTo"/>
        <c:crossAx val="101001088"/>
        <c:crosses val="autoZero"/>
        <c:auto val="1"/>
        <c:lblAlgn val="ctr"/>
        <c:lblOffset val="100"/>
        <c:noMultiLvlLbl val="0"/>
      </c:catAx>
      <c:valAx>
        <c:axId val="101001088"/>
        <c:scaling>
          <c:orientation val="minMax"/>
        </c:scaling>
        <c:delete val="1"/>
        <c:axPos val="t"/>
        <c:numFmt formatCode="0.0%" sourceLinked="1"/>
        <c:majorTickMark val="out"/>
        <c:minorTickMark val="none"/>
        <c:tickLblPos val="nextTo"/>
        <c:crossAx val="100999552"/>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pPr>
            <a:r>
              <a:rPr lang="en-GB" sz="1400" baseline="0"/>
              <a:t>Senior Med Staff Mean Hourly Rate</a:t>
            </a:r>
          </a:p>
        </c:rich>
      </c:tx>
      <c:layout/>
      <c:overlay val="0"/>
    </c:title>
    <c:autoTitleDeleted val="0"/>
    <c:plotArea>
      <c:layout/>
      <c:barChart>
        <c:barDir val="col"/>
        <c:grouping val="clustered"/>
        <c:varyColors val="0"/>
        <c:ser>
          <c:idx val="0"/>
          <c:order val="0"/>
          <c:tx>
            <c:strRef>
              <c:f>'Senior Medics St G report'!$B$2</c:f>
              <c:strCache>
                <c:ptCount val="1"/>
                <c:pt idx="0">
                  <c:v>Avg. Hourly Rate</c:v>
                </c:pt>
              </c:strCache>
            </c:strRef>
          </c:tx>
          <c:spPr>
            <a:solidFill>
              <a:srgbClr val="C00000"/>
            </a:solidFill>
          </c:spPr>
          <c:invertIfNegative val="0"/>
          <c:dPt>
            <c:idx val="0"/>
            <c:invertIfNegative val="0"/>
            <c:bubble3D val="0"/>
            <c:spPr>
              <a:solidFill>
                <a:schemeClr val="tx2">
                  <a:lumMod val="60000"/>
                  <a:lumOff val="40000"/>
                </a:schemeClr>
              </a:solidFill>
            </c:spPr>
          </c:dPt>
          <c:dLbls>
            <c:numFmt formatCode="&quot;£&quot;#,##0.0" sourceLinked="0"/>
            <c:txPr>
              <a:bodyPr/>
              <a:lstStyle/>
              <a:p>
                <a:pPr>
                  <a:defRPr sz="1200" b="1" i="0" baseline="0"/>
                </a:pPr>
                <a:endParaRPr lang="en-US"/>
              </a:p>
            </c:txPr>
            <c:showLegendKey val="0"/>
            <c:showVal val="1"/>
            <c:showCatName val="0"/>
            <c:showSerName val="0"/>
            <c:showPercent val="0"/>
            <c:showBubbleSize val="0"/>
            <c:showLeaderLines val="0"/>
          </c:dLbls>
          <c:cat>
            <c:strRef>
              <c:f>'Senior Medics St G report'!$A$3:$A$4</c:f>
              <c:strCache>
                <c:ptCount val="2"/>
                <c:pt idx="0">
                  <c:v>Male</c:v>
                </c:pt>
                <c:pt idx="1">
                  <c:v>Female</c:v>
                </c:pt>
              </c:strCache>
            </c:strRef>
          </c:cat>
          <c:val>
            <c:numRef>
              <c:f>'Senior Medics St G report'!$B$3:$B$4</c:f>
              <c:numCache>
                <c:formatCode>0.0</c:formatCode>
                <c:ptCount val="2"/>
                <c:pt idx="0">
                  <c:v>46.528970776282698</c:v>
                </c:pt>
                <c:pt idx="1">
                  <c:v>44.4812894844423</c:v>
                </c:pt>
              </c:numCache>
            </c:numRef>
          </c:val>
        </c:ser>
        <c:dLbls>
          <c:showLegendKey val="0"/>
          <c:showVal val="0"/>
          <c:showCatName val="0"/>
          <c:showSerName val="0"/>
          <c:showPercent val="0"/>
          <c:showBubbleSize val="0"/>
        </c:dLbls>
        <c:gapWidth val="150"/>
        <c:axId val="101367808"/>
        <c:axId val="101369344"/>
      </c:barChart>
      <c:catAx>
        <c:axId val="101367808"/>
        <c:scaling>
          <c:orientation val="minMax"/>
        </c:scaling>
        <c:delete val="0"/>
        <c:axPos val="b"/>
        <c:majorTickMark val="out"/>
        <c:minorTickMark val="none"/>
        <c:tickLblPos val="nextTo"/>
        <c:crossAx val="101369344"/>
        <c:crosses val="autoZero"/>
        <c:auto val="1"/>
        <c:lblAlgn val="ctr"/>
        <c:lblOffset val="100"/>
        <c:noMultiLvlLbl val="0"/>
      </c:catAx>
      <c:valAx>
        <c:axId val="101369344"/>
        <c:scaling>
          <c:orientation val="minMax"/>
          <c:max val="50"/>
          <c:min val="0"/>
        </c:scaling>
        <c:delete val="0"/>
        <c:axPos val="l"/>
        <c:numFmt formatCode="0.0" sourceLinked="1"/>
        <c:majorTickMark val="out"/>
        <c:minorTickMark val="none"/>
        <c:tickLblPos val="nextTo"/>
        <c:crossAx val="101367808"/>
        <c:crosses val="autoZero"/>
        <c:crossBetween val="between"/>
        <c:majorUnit val="10"/>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pPr>
            <a:r>
              <a:rPr lang="en-GB" sz="1400" baseline="0"/>
              <a:t>Senior Med staff Median Hourly Rate</a:t>
            </a:r>
          </a:p>
        </c:rich>
      </c:tx>
      <c:layout/>
      <c:overlay val="0"/>
    </c:title>
    <c:autoTitleDeleted val="0"/>
    <c:plotArea>
      <c:layout/>
      <c:barChart>
        <c:barDir val="col"/>
        <c:grouping val="clustered"/>
        <c:varyColors val="0"/>
        <c:ser>
          <c:idx val="0"/>
          <c:order val="0"/>
          <c:spPr>
            <a:solidFill>
              <a:srgbClr val="C00000"/>
            </a:solidFill>
          </c:spPr>
          <c:invertIfNegative val="0"/>
          <c:dPt>
            <c:idx val="0"/>
            <c:invertIfNegative val="0"/>
            <c:bubble3D val="0"/>
            <c:spPr>
              <a:solidFill>
                <a:schemeClr val="tx2">
                  <a:lumMod val="60000"/>
                  <a:lumOff val="40000"/>
                </a:schemeClr>
              </a:solidFill>
            </c:spPr>
          </c:dPt>
          <c:dLbls>
            <c:numFmt formatCode="&quot;£&quot;#,##0.0" sourceLinked="0"/>
            <c:txPr>
              <a:bodyPr/>
              <a:lstStyle/>
              <a:p>
                <a:pPr>
                  <a:defRPr sz="1200" b="1" i="0" baseline="0"/>
                </a:pPr>
                <a:endParaRPr lang="en-US"/>
              </a:p>
            </c:txPr>
            <c:showLegendKey val="0"/>
            <c:showVal val="1"/>
            <c:showCatName val="0"/>
            <c:showSerName val="0"/>
            <c:showPercent val="0"/>
            <c:showBubbleSize val="0"/>
            <c:showLeaderLines val="0"/>
          </c:dLbls>
          <c:cat>
            <c:strRef>
              <c:f>'Senior Medics St G report'!$A$3:$A$4</c:f>
              <c:strCache>
                <c:ptCount val="2"/>
                <c:pt idx="0">
                  <c:v>Male</c:v>
                </c:pt>
                <c:pt idx="1">
                  <c:v>Female</c:v>
                </c:pt>
              </c:strCache>
            </c:strRef>
          </c:cat>
          <c:val>
            <c:numRef>
              <c:f>'Senior Medics St G report'!$C$3:$C$4</c:f>
              <c:numCache>
                <c:formatCode>0.0</c:formatCode>
                <c:ptCount val="2"/>
                <c:pt idx="0">
                  <c:v>48.228250863061</c:v>
                </c:pt>
                <c:pt idx="1">
                  <c:v>44.870739088881798</c:v>
                </c:pt>
              </c:numCache>
            </c:numRef>
          </c:val>
        </c:ser>
        <c:dLbls>
          <c:showLegendKey val="0"/>
          <c:showVal val="0"/>
          <c:showCatName val="0"/>
          <c:showSerName val="0"/>
          <c:showPercent val="0"/>
          <c:showBubbleSize val="0"/>
        </c:dLbls>
        <c:gapWidth val="150"/>
        <c:axId val="100837632"/>
        <c:axId val="101527552"/>
      </c:barChart>
      <c:catAx>
        <c:axId val="100837632"/>
        <c:scaling>
          <c:orientation val="minMax"/>
        </c:scaling>
        <c:delete val="0"/>
        <c:axPos val="b"/>
        <c:majorTickMark val="out"/>
        <c:minorTickMark val="none"/>
        <c:tickLblPos val="nextTo"/>
        <c:crossAx val="101527552"/>
        <c:crosses val="autoZero"/>
        <c:auto val="1"/>
        <c:lblAlgn val="ctr"/>
        <c:lblOffset val="100"/>
        <c:noMultiLvlLbl val="0"/>
      </c:catAx>
      <c:valAx>
        <c:axId val="101527552"/>
        <c:scaling>
          <c:orientation val="minMax"/>
          <c:max val="50"/>
          <c:min val="0"/>
        </c:scaling>
        <c:delete val="0"/>
        <c:axPos val="l"/>
        <c:numFmt formatCode="0.0" sourceLinked="1"/>
        <c:majorTickMark val="out"/>
        <c:minorTickMark val="none"/>
        <c:tickLblPos val="nextTo"/>
        <c:crossAx val="100837632"/>
        <c:crosses val="autoZero"/>
        <c:crossBetween val="between"/>
        <c:majorUnit val="10"/>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en-GB" sz="1200" baseline="0"/>
              <a:t>Percentage of gender in Pay Quartiles Senior Medical Staff</a:t>
            </a:r>
          </a:p>
        </c:rich>
      </c:tx>
      <c:layout/>
      <c:overlay val="0"/>
    </c:title>
    <c:autoTitleDeleted val="0"/>
    <c:plotArea>
      <c:layout/>
      <c:barChart>
        <c:barDir val="bar"/>
        <c:grouping val="clustered"/>
        <c:varyColors val="0"/>
        <c:ser>
          <c:idx val="0"/>
          <c:order val="0"/>
          <c:tx>
            <c:strRef>
              <c:f>'Senior Medics St G report'!$F$2</c:f>
              <c:strCache>
                <c:ptCount val="1"/>
                <c:pt idx="0">
                  <c:v>Female %</c:v>
                </c:pt>
              </c:strCache>
            </c:strRef>
          </c:tx>
          <c:spPr>
            <a:solidFill>
              <a:srgbClr val="C00000"/>
            </a:solidFill>
          </c:spPr>
          <c:invertIfNegative val="0"/>
          <c:dLbls>
            <c:txPr>
              <a:bodyPr/>
              <a:lstStyle/>
              <a:p>
                <a:pPr>
                  <a:defRPr sz="800" b="1" i="0" baseline="0">
                    <a:solidFill>
                      <a:schemeClr val="bg1"/>
                    </a:solidFill>
                  </a:defRPr>
                </a:pPr>
                <a:endParaRPr lang="en-US"/>
              </a:p>
            </c:txPr>
            <c:dLblPos val="inEnd"/>
            <c:showLegendKey val="0"/>
            <c:showVal val="1"/>
            <c:showCatName val="0"/>
            <c:showSerName val="0"/>
            <c:showPercent val="0"/>
            <c:showBubbleSize val="0"/>
            <c:showLeaderLines val="0"/>
          </c:dLbls>
          <c:cat>
            <c:strRef>
              <c:f>'Senior Medics St G report'!$E$3:$E$6</c:f>
              <c:strCache>
                <c:ptCount val="4"/>
                <c:pt idx="0">
                  <c:v>Lower Quartile</c:v>
                </c:pt>
                <c:pt idx="1">
                  <c:v>Lower Middle Quartile</c:v>
                </c:pt>
                <c:pt idx="2">
                  <c:v>Upper Middle Quartile</c:v>
                </c:pt>
                <c:pt idx="3">
                  <c:v>Upper Quartile</c:v>
                </c:pt>
              </c:strCache>
            </c:strRef>
          </c:cat>
          <c:val>
            <c:numRef>
              <c:f>'Senior Medics St G report'!$F$3:$F$6</c:f>
              <c:numCache>
                <c:formatCode>0.0%</c:formatCode>
                <c:ptCount val="4"/>
                <c:pt idx="0">
                  <c:v>0.50877192982456099</c:v>
                </c:pt>
                <c:pt idx="1">
                  <c:v>0.387596899224806</c:v>
                </c:pt>
                <c:pt idx="2">
                  <c:v>0.41284403669724801</c:v>
                </c:pt>
                <c:pt idx="3">
                  <c:v>0.22388059701492499</c:v>
                </c:pt>
              </c:numCache>
            </c:numRef>
          </c:val>
        </c:ser>
        <c:ser>
          <c:idx val="1"/>
          <c:order val="1"/>
          <c:tx>
            <c:strRef>
              <c:f>'Senior Medics St G report'!$G$2</c:f>
              <c:strCache>
                <c:ptCount val="1"/>
                <c:pt idx="0">
                  <c:v>Male %</c:v>
                </c:pt>
              </c:strCache>
            </c:strRef>
          </c:tx>
          <c:spPr>
            <a:solidFill>
              <a:schemeClr val="accent1"/>
            </a:solidFill>
          </c:spPr>
          <c:invertIfNegative val="0"/>
          <c:dLbls>
            <c:numFmt formatCode="0.0%" sourceLinked="0"/>
            <c:txPr>
              <a:bodyPr/>
              <a:lstStyle/>
              <a:p>
                <a:pPr>
                  <a:defRPr sz="800" b="1" i="0" baseline="0">
                    <a:solidFill>
                      <a:schemeClr val="bg1"/>
                    </a:solidFill>
                  </a:defRPr>
                </a:pPr>
                <a:endParaRPr lang="en-US"/>
              </a:p>
            </c:txPr>
            <c:dLblPos val="inEnd"/>
            <c:showLegendKey val="0"/>
            <c:showVal val="1"/>
            <c:showCatName val="0"/>
            <c:showSerName val="0"/>
            <c:showPercent val="0"/>
            <c:showBubbleSize val="0"/>
            <c:showLeaderLines val="0"/>
          </c:dLbls>
          <c:cat>
            <c:strRef>
              <c:f>'Senior Medics St G report'!$E$3:$E$6</c:f>
              <c:strCache>
                <c:ptCount val="4"/>
                <c:pt idx="0">
                  <c:v>Lower Quartile</c:v>
                </c:pt>
                <c:pt idx="1">
                  <c:v>Lower Middle Quartile</c:v>
                </c:pt>
                <c:pt idx="2">
                  <c:v>Upper Middle Quartile</c:v>
                </c:pt>
                <c:pt idx="3">
                  <c:v>Upper Quartile</c:v>
                </c:pt>
              </c:strCache>
            </c:strRef>
          </c:cat>
          <c:val>
            <c:numRef>
              <c:f>'Senior Medics St G report'!$G$3:$G$6</c:f>
              <c:numCache>
                <c:formatCode>0.0%</c:formatCode>
                <c:ptCount val="4"/>
                <c:pt idx="0">
                  <c:v>0.49122807017543901</c:v>
                </c:pt>
                <c:pt idx="1">
                  <c:v>0.612403100775194</c:v>
                </c:pt>
                <c:pt idx="2">
                  <c:v>0.58715596330275199</c:v>
                </c:pt>
                <c:pt idx="3">
                  <c:v>0.77611940298507498</c:v>
                </c:pt>
              </c:numCache>
            </c:numRef>
          </c:val>
        </c:ser>
        <c:dLbls>
          <c:showLegendKey val="0"/>
          <c:showVal val="0"/>
          <c:showCatName val="0"/>
          <c:showSerName val="0"/>
          <c:showPercent val="0"/>
          <c:showBubbleSize val="0"/>
        </c:dLbls>
        <c:gapWidth val="24"/>
        <c:axId val="101840000"/>
        <c:axId val="101841536"/>
      </c:barChart>
      <c:catAx>
        <c:axId val="101840000"/>
        <c:scaling>
          <c:orientation val="maxMin"/>
        </c:scaling>
        <c:delete val="0"/>
        <c:axPos val="l"/>
        <c:majorTickMark val="out"/>
        <c:minorTickMark val="none"/>
        <c:tickLblPos val="nextTo"/>
        <c:crossAx val="101841536"/>
        <c:crosses val="autoZero"/>
        <c:auto val="1"/>
        <c:lblAlgn val="ctr"/>
        <c:lblOffset val="100"/>
        <c:noMultiLvlLbl val="0"/>
      </c:catAx>
      <c:valAx>
        <c:axId val="101841536"/>
        <c:scaling>
          <c:orientation val="minMax"/>
        </c:scaling>
        <c:delete val="1"/>
        <c:axPos val="t"/>
        <c:numFmt formatCode="0.0%" sourceLinked="1"/>
        <c:majorTickMark val="out"/>
        <c:minorTickMark val="none"/>
        <c:tickLblPos val="nextTo"/>
        <c:crossAx val="101840000"/>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'by payband St G'!$E$21</c:f>
              <c:strCache>
                <c:ptCount val="1"/>
                <c:pt idx="0">
                  <c:v>% Male</c:v>
                </c:pt>
              </c:strCache>
            </c:strRef>
          </c:tx>
          <c:invertIfNegative val="0"/>
          <c:dLbls>
            <c:txPr>
              <a:bodyPr/>
              <a:lstStyle/>
              <a:p>
                <a:pPr>
                  <a:defRPr b="1" i="0" baseline="0">
                    <a:solidFill>
                      <a:schemeClr val="bg1"/>
                    </a:solidFill>
                  </a:defRPr>
                </a:pPr>
                <a:endParaRPr lang="en-US"/>
              </a:p>
            </c:txPr>
            <c:showLegendKey val="0"/>
            <c:showVal val="1"/>
            <c:showCatName val="0"/>
            <c:showSerName val="0"/>
            <c:showPercent val="0"/>
            <c:showBubbleSize val="0"/>
            <c:showLeaderLines val="0"/>
          </c:dLbls>
          <c:cat>
            <c:strRef>
              <c:f>'by payband St G'!$A$22:$A$37</c:f>
              <c:strCache>
                <c:ptCount val="16"/>
                <c:pt idx="0">
                  <c:v>Apprentice</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pt idx="14">
                  <c:v>Medical - Consultant</c:v>
                </c:pt>
                <c:pt idx="15">
                  <c:v>Medical - non Consultant</c:v>
                </c:pt>
              </c:strCache>
            </c:strRef>
          </c:cat>
          <c:val>
            <c:numRef>
              <c:f>'by payband St G'!$E$22:$E$37</c:f>
              <c:numCache>
                <c:formatCode>0.0%</c:formatCode>
                <c:ptCount val="16"/>
                <c:pt idx="0">
                  <c:v>0.15384615384615385</c:v>
                </c:pt>
                <c:pt idx="1">
                  <c:v>0.2857142857142857</c:v>
                </c:pt>
                <c:pt idx="2">
                  <c:v>0.15132496513249652</c:v>
                </c:pt>
                <c:pt idx="3">
                  <c:v>8.9264173703256941E-2</c:v>
                </c:pt>
                <c:pt idx="4">
                  <c:v>0.12993039443155452</c:v>
                </c:pt>
                <c:pt idx="5">
                  <c:v>0.13553113553113552</c:v>
                </c:pt>
                <c:pt idx="6">
                  <c:v>9.7031136857349751E-2</c:v>
                </c:pt>
                <c:pt idx="7">
                  <c:v>0.17465224111282843</c:v>
                </c:pt>
                <c:pt idx="8">
                  <c:v>0.18617021276595744</c:v>
                </c:pt>
                <c:pt idx="9">
                  <c:v>0.35483870967741937</c:v>
                </c:pt>
                <c:pt idx="10">
                  <c:v>0.4375</c:v>
                </c:pt>
                <c:pt idx="11">
                  <c:v>0.34375</c:v>
                </c:pt>
                <c:pt idx="12">
                  <c:v>0.2857142857142857</c:v>
                </c:pt>
                <c:pt idx="13">
                  <c:v>0.63636363636363635</c:v>
                </c:pt>
                <c:pt idx="14">
                  <c:v>0.65404040404040409</c:v>
                </c:pt>
                <c:pt idx="15">
                  <c:v>0.37588652482269502</c:v>
                </c:pt>
              </c:numCache>
            </c:numRef>
          </c:val>
        </c:ser>
        <c:ser>
          <c:idx val="1"/>
          <c:order val="1"/>
          <c:tx>
            <c:strRef>
              <c:f>'by payband St G'!$F$21</c:f>
              <c:strCache>
                <c:ptCount val="1"/>
                <c:pt idx="0">
                  <c:v>% Female</c:v>
                </c:pt>
              </c:strCache>
            </c:strRef>
          </c:tx>
          <c:invertIfNegative val="0"/>
          <c:dLbls>
            <c:txPr>
              <a:bodyPr/>
              <a:lstStyle/>
              <a:p>
                <a:pPr>
                  <a:defRPr b="1" i="0" baseline="0">
                    <a:solidFill>
                      <a:schemeClr val="bg1"/>
                    </a:solidFill>
                  </a:defRPr>
                </a:pPr>
                <a:endParaRPr lang="en-US"/>
              </a:p>
            </c:txPr>
            <c:showLegendKey val="0"/>
            <c:showVal val="1"/>
            <c:showCatName val="0"/>
            <c:showSerName val="0"/>
            <c:showPercent val="0"/>
            <c:showBubbleSize val="0"/>
            <c:showLeaderLines val="0"/>
          </c:dLbls>
          <c:cat>
            <c:strRef>
              <c:f>'by payband St G'!$A$22:$A$37</c:f>
              <c:strCache>
                <c:ptCount val="16"/>
                <c:pt idx="0">
                  <c:v>Apprentice</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VSM</c:v>
                </c:pt>
                <c:pt idx="14">
                  <c:v>Medical - Consultant</c:v>
                </c:pt>
                <c:pt idx="15">
                  <c:v>Medical - non Consultant</c:v>
                </c:pt>
              </c:strCache>
            </c:strRef>
          </c:cat>
          <c:val>
            <c:numRef>
              <c:f>'by payband St G'!$F$22:$F$37</c:f>
              <c:numCache>
                <c:formatCode>0.0%</c:formatCode>
                <c:ptCount val="16"/>
                <c:pt idx="0">
                  <c:v>0.84615384615384615</c:v>
                </c:pt>
                <c:pt idx="1">
                  <c:v>0.7142857142857143</c:v>
                </c:pt>
                <c:pt idx="2">
                  <c:v>0.84867503486750351</c:v>
                </c:pt>
                <c:pt idx="3">
                  <c:v>0.9107358262967431</c:v>
                </c:pt>
                <c:pt idx="4">
                  <c:v>0.87006960556844548</c:v>
                </c:pt>
                <c:pt idx="5">
                  <c:v>0.86446886446886451</c:v>
                </c:pt>
                <c:pt idx="6">
                  <c:v>0.90296886314265024</c:v>
                </c:pt>
                <c:pt idx="7">
                  <c:v>0.8253477588871716</c:v>
                </c:pt>
                <c:pt idx="8">
                  <c:v>0.81382978723404253</c:v>
                </c:pt>
                <c:pt idx="9">
                  <c:v>0.64516129032258063</c:v>
                </c:pt>
                <c:pt idx="10">
                  <c:v>0.5625</c:v>
                </c:pt>
                <c:pt idx="11">
                  <c:v>0.65625</c:v>
                </c:pt>
                <c:pt idx="12">
                  <c:v>0.7142857142857143</c:v>
                </c:pt>
                <c:pt idx="13">
                  <c:v>0.36363636363636365</c:v>
                </c:pt>
                <c:pt idx="14">
                  <c:v>0.34595959595959597</c:v>
                </c:pt>
                <c:pt idx="15">
                  <c:v>0.62411347517730498</c:v>
                </c:pt>
              </c:numCache>
            </c:numRef>
          </c:val>
        </c:ser>
        <c:dLbls>
          <c:showLegendKey val="0"/>
          <c:showVal val="0"/>
          <c:showCatName val="0"/>
          <c:showSerName val="0"/>
          <c:showPercent val="0"/>
          <c:showBubbleSize val="0"/>
        </c:dLbls>
        <c:gapWidth val="36"/>
        <c:overlap val="100"/>
        <c:axId val="102078336"/>
        <c:axId val="102079872"/>
      </c:barChart>
      <c:catAx>
        <c:axId val="102078336"/>
        <c:scaling>
          <c:orientation val="maxMin"/>
        </c:scaling>
        <c:delete val="0"/>
        <c:axPos val="l"/>
        <c:majorTickMark val="out"/>
        <c:minorTickMark val="none"/>
        <c:tickLblPos val="nextTo"/>
        <c:crossAx val="102079872"/>
        <c:crosses val="autoZero"/>
        <c:auto val="1"/>
        <c:lblAlgn val="ctr"/>
        <c:lblOffset val="100"/>
        <c:noMultiLvlLbl val="0"/>
      </c:catAx>
      <c:valAx>
        <c:axId val="102079872"/>
        <c:scaling>
          <c:orientation val="minMax"/>
        </c:scaling>
        <c:delete val="0"/>
        <c:axPos val="t"/>
        <c:numFmt formatCode="0%" sourceLinked="1"/>
        <c:majorTickMark val="out"/>
        <c:minorTickMark val="none"/>
        <c:tickLblPos val="nextTo"/>
        <c:crossAx val="10207833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pPr>
            <a:r>
              <a:rPr lang="en-GB" sz="1400" baseline="0"/>
              <a:t>Mean Bonus Pay</a:t>
            </a:r>
          </a:p>
        </c:rich>
      </c:tx>
      <c:layout/>
      <c:overlay val="0"/>
    </c:title>
    <c:autoTitleDeleted val="0"/>
    <c:plotArea>
      <c:layout>
        <c:manualLayout>
          <c:layoutTarget val="inner"/>
          <c:xMode val="edge"/>
          <c:yMode val="edge"/>
          <c:x val="5.3140096618357488E-2"/>
          <c:y val="0.3196755625327054"/>
          <c:w val="0.893719806763285"/>
          <c:h val="0.54923258219096238"/>
        </c:manualLayout>
      </c:layout>
      <c:barChart>
        <c:barDir val="col"/>
        <c:grouping val="clustered"/>
        <c:varyColors val="0"/>
        <c:ser>
          <c:idx val="0"/>
          <c:order val="0"/>
          <c:tx>
            <c:strRef>
              <c:f>'Bonus St G'!$B$2</c:f>
              <c:strCache>
                <c:ptCount val="1"/>
                <c:pt idx="0">
                  <c:v>Avg. Pay</c:v>
                </c:pt>
              </c:strCache>
            </c:strRef>
          </c:tx>
          <c:spPr>
            <a:solidFill>
              <a:srgbClr val="C00000"/>
            </a:solidFill>
          </c:spPr>
          <c:invertIfNegative val="0"/>
          <c:dPt>
            <c:idx val="0"/>
            <c:invertIfNegative val="0"/>
            <c:bubble3D val="0"/>
            <c:spPr>
              <a:solidFill>
                <a:schemeClr val="tx2">
                  <a:lumMod val="60000"/>
                  <a:lumOff val="40000"/>
                </a:schemeClr>
              </a:solidFill>
            </c:spPr>
          </c:dPt>
          <c:dLbls>
            <c:numFmt formatCode="&quot;£&quot;#,##0" sourceLinked="0"/>
            <c:txPr>
              <a:bodyPr/>
              <a:lstStyle/>
              <a:p>
                <a:pPr>
                  <a:defRPr sz="1000" b="1" i="0" baseline="0"/>
                </a:pPr>
                <a:endParaRPr lang="en-US"/>
              </a:p>
            </c:txPr>
            <c:showLegendKey val="0"/>
            <c:showVal val="1"/>
            <c:showCatName val="0"/>
            <c:showSerName val="0"/>
            <c:showPercent val="0"/>
            <c:showBubbleSize val="0"/>
            <c:showLeaderLines val="0"/>
          </c:dLbls>
          <c:cat>
            <c:strRef>
              <c:f>'Bonus St G'!$A$3:$A$4</c:f>
              <c:strCache>
                <c:ptCount val="2"/>
                <c:pt idx="0">
                  <c:v>Male</c:v>
                </c:pt>
                <c:pt idx="1">
                  <c:v>Female</c:v>
                </c:pt>
              </c:strCache>
            </c:strRef>
          </c:cat>
          <c:val>
            <c:numRef>
              <c:f>'Bonus St G'!$B$3:$B$4</c:f>
              <c:numCache>
                <c:formatCode>#,##0</c:formatCode>
                <c:ptCount val="2"/>
                <c:pt idx="0">
                  <c:v>14709.3235714286</c:v>
                </c:pt>
                <c:pt idx="1">
                  <c:v>8376.5802941176498</c:v>
                </c:pt>
              </c:numCache>
            </c:numRef>
          </c:val>
        </c:ser>
        <c:dLbls>
          <c:showLegendKey val="0"/>
          <c:showVal val="0"/>
          <c:showCatName val="0"/>
          <c:showSerName val="0"/>
          <c:showPercent val="0"/>
          <c:showBubbleSize val="0"/>
        </c:dLbls>
        <c:gapWidth val="150"/>
        <c:axId val="102268928"/>
        <c:axId val="102270464"/>
      </c:barChart>
      <c:catAx>
        <c:axId val="102268928"/>
        <c:scaling>
          <c:orientation val="minMax"/>
        </c:scaling>
        <c:delete val="0"/>
        <c:axPos val="b"/>
        <c:majorTickMark val="out"/>
        <c:minorTickMark val="none"/>
        <c:tickLblPos val="nextTo"/>
        <c:crossAx val="102270464"/>
        <c:crosses val="autoZero"/>
        <c:auto val="1"/>
        <c:lblAlgn val="ctr"/>
        <c:lblOffset val="100"/>
        <c:noMultiLvlLbl val="0"/>
      </c:catAx>
      <c:valAx>
        <c:axId val="102270464"/>
        <c:scaling>
          <c:orientation val="minMax"/>
          <c:max val="15000"/>
          <c:min val="0"/>
        </c:scaling>
        <c:delete val="1"/>
        <c:axPos val="l"/>
        <c:numFmt formatCode="#,##0" sourceLinked="1"/>
        <c:majorTickMark val="out"/>
        <c:minorTickMark val="none"/>
        <c:tickLblPos val="nextTo"/>
        <c:crossAx val="102268928"/>
        <c:crosses val="autoZero"/>
        <c:crossBetween val="between"/>
        <c:majorUnit val="2500"/>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pPr>
            <a:r>
              <a:rPr lang="en-GB" sz="1400" baseline="0"/>
              <a:t>Median Bonus Pay</a:t>
            </a:r>
          </a:p>
        </c:rich>
      </c:tx>
      <c:layout/>
      <c:overlay val="0"/>
    </c:title>
    <c:autoTitleDeleted val="0"/>
    <c:plotArea>
      <c:layout/>
      <c:barChart>
        <c:barDir val="col"/>
        <c:grouping val="clustered"/>
        <c:varyColors val="0"/>
        <c:ser>
          <c:idx val="0"/>
          <c:order val="0"/>
          <c:spPr>
            <a:solidFill>
              <a:srgbClr val="C00000"/>
            </a:solidFill>
          </c:spPr>
          <c:invertIfNegative val="0"/>
          <c:dPt>
            <c:idx val="0"/>
            <c:invertIfNegative val="0"/>
            <c:bubble3D val="0"/>
            <c:spPr>
              <a:solidFill>
                <a:schemeClr val="tx2">
                  <a:lumMod val="60000"/>
                  <a:lumOff val="40000"/>
                </a:schemeClr>
              </a:solidFill>
            </c:spPr>
          </c:dPt>
          <c:dLbls>
            <c:numFmt formatCode="&quot;£&quot;#,##0" sourceLinked="0"/>
            <c:txPr>
              <a:bodyPr/>
              <a:lstStyle/>
              <a:p>
                <a:pPr>
                  <a:defRPr sz="1000" b="1" i="0" baseline="0"/>
                </a:pPr>
                <a:endParaRPr lang="en-US"/>
              </a:p>
            </c:txPr>
            <c:showLegendKey val="0"/>
            <c:showVal val="1"/>
            <c:showCatName val="0"/>
            <c:showSerName val="0"/>
            <c:showPercent val="0"/>
            <c:showBubbleSize val="0"/>
            <c:showLeaderLines val="0"/>
          </c:dLbls>
          <c:cat>
            <c:strRef>
              <c:f>'Bonus St G'!$A$3:$A$4</c:f>
              <c:strCache>
                <c:ptCount val="2"/>
                <c:pt idx="0">
                  <c:v>Male</c:v>
                </c:pt>
                <c:pt idx="1">
                  <c:v>Female</c:v>
                </c:pt>
              </c:strCache>
            </c:strRef>
          </c:cat>
          <c:val>
            <c:numRef>
              <c:f>'Bonus St G'!$C$3:$C$4</c:f>
              <c:numCache>
                <c:formatCode>#,##0</c:formatCode>
                <c:ptCount val="2"/>
                <c:pt idx="0">
                  <c:v>9048</c:v>
                </c:pt>
                <c:pt idx="1">
                  <c:v>5428.8</c:v>
                </c:pt>
              </c:numCache>
            </c:numRef>
          </c:val>
        </c:ser>
        <c:dLbls>
          <c:showLegendKey val="0"/>
          <c:showVal val="0"/>
          <c:showCatName val="0"/>
          <c:showSerName val="0"/>
          <c:showPercent val="0"/>
          <c:showBubbleSize val="0"/>
        </c:dLbls>
        <c:gapWidth val="150"/>
        <c:axId val="102434688"/>
        <c:axId val="102436224"/>
      </c:barChart>
      <c:catAx>
        <c:axId val="102434688"/>
        <c:scaling>
          <c:orientation val="minMax"/>
        </c:scaling>
        <c:delete val="0"/>
        <c:axPos val="b"/>
        <c:majorTickMark val="out"/>
        <c:minorTickMark val="none"/>
        <c:tickLblPos val="nextTo"/>
        <c:crossAx val="102436224"/>
        <c:crosses val="autoZero"/>
        <c:auto val="1"/>
        <c:lblAlgn val="ctr"/>
        <c:lblOffset val="100"/>
        <c:noMultiLvlLbl val="0"/>
      </c:catAx>
      <c:valAx>
        <c:axId val="102436224"/>
        <c:scaling>
          <c:orientation val="minMax"/>
          <c:max val="15000"/>
          <c:min val="0"/>
        </c:scaling>
        <c:delete val="1"/>
        <c:axPos val="l"/>
        <c:numFmt formatCode="#,##0" sourceLinked="1"/>
        <c:majorTickMark val="out"/>
        <c:minorTickMark val="none"/>
        <c:tickLblPos val="nextTo"/>
        <c:crossAx val="102434688"/>
        <c:crosses val="autoZero"/>
        <c:crossBetween val="between"/>
        <c:majorUnit val="2500"/>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Mean Hourly Rate</a:t>
            </a:r>
          </a:p>
        </c:rich>
      </c:tx>
      <c:layout>
        <c:manualLayout>
          <c:xMode val="edge"/>
          <c:yMode val="edge"/>
          <c:x val="0.16317623340560689"/>
          <c:y val="4.1862899005756148E-2"/>
        </c:manualLayout>
      </c:layout>
      <c:overlay val="0"/>
    </c:title>
    <c:autoTitleDeleted val="0"/>
    <c:plotArea>
      <c:layout/>
      <c:barChart>
        <c:barDir val="col"/>
        <c:grouping val="clustered"/>
        <c:varyColors val="0"/>
        <c:ser>
          <c:idx val="0"/>
          <c:order val="0"/>
          <c:tx>
            <c:strRef>
              <c:f>Sheet1!$B$2</c:f>
              <c:strCache>
                <c:ptCount val="1"/>
                <c:pt idx="0">
                  <c:v>Avg. Hourly Rate</c:v>
                </c:pt>
              </c:strCache>
            </c:strRef>
          </c:tx>
          <c:spPr>
            <a:solidFill>
              <a:srgbClr val="C00000"/>
            </a:solidFill>
          </c:spPr>
          <c:invertIfNegative val="0"/>
          <c:dPt>
            <c:idx val="0"/>
            <c:invertIfNegative val="0"/>
            <c:bubble3D val="0"/>
            <c:spPr>
              <a:solidFill>
                <a:schemeClr val="tx2">
                  <a:lumMod val="60000"/>
                  <a:lumOff val="40000"/>
                </a:schemeClr>
              </a:solidFill>
            </c:spPr>
          </c:dPt>
          <c:dLbls>
            <c:numFmt formatCode="&quot;£&quot;#,##0.0" sourceLinked="0"/>
            <c:txPr>
              <a:bodyPr/>
              <a:lstStyle/>
              <a:p>
                <a:pPr>
                  <a:defRPr sz="1200" b="1" i="0" baseline="0"/>
                </a:pPr>
                <a:endParaRPr lang="en-US"/>
              </a:p>
            </c:txPr>
            <c:showLegendKey val="0"/>
            <c:showVal val="1"/>
            <c:showCatName val="0"/>
            <c:showSerName val="0"/>
            <c:showPercent val="0"/>
            <c:showBubbleSize val="0"/>
            <c:showLeaderLines val="0"/>
          </c:dLbls>
          <c:cat>
            <c:strRef>
              <c:f>Sheet1!$A$3:$A$4</c:f>
              <c:strCache>
                <c:ptCount val="2"/>
                <c:pt idx="0">
                  <c:v>Male</c:v>
                </c:pt>
                <c:pt idx="1">
                  <c:v>Female</c:v>
                </c:pt>
              </c:strCache>
            </c:strRef>
          </c:cat>
          <c:val>
            <c:numRef>
              <c:f>Sheet1!$B$3:$B$4</c:f>
              <c:numCache>
                <c:formatCode>0.0</c:formatCode>
                <c:ptCount val="2"/>
                <c:pt idx="0">
                  <c:v>23.3380289180879</c:v>
                </c:pt>
                <c:pt idx="1">
                  <c:v>16.653969680687901</c:v>
                </c:pt>
              </c:numCache>
            </c:numRef>
          </c:val>
        </c:ser>
        <c:dLbls>
          <c:showLegendKey val="0"/>
          <c:showVal val="0"/>
          <c:showCatName val="0"/>
          <c:showSerName val="0"/>
          <c:showPercent val="0"/>
          <c:showBubbleSize val="0"/>
        </c:dLbls>
        <c:gapWidth val="150"/>
        <c:axId val="87111168"/>
        <c:axId val="87112704"/>
      </c:barChart>
      <c:catAx>
        <c:axId val="87111168"/>
        <c:scaling>
          <c:orientation val="minMax"/>
        </c:scaling>
        <c:delete val="0"/>
        <c:axPos val="b"/>
        <c:majorTickMark val="out"/>
        <c:minorTickMark val="none"/>
        <c:tickLblPos val="nextTo"/>
        <c:crossAx val="87112704"/>
        <c:crosses val="autoZero"/>
        <c:auto val="1"/>
        <c:lblAlgn val="ctr"/>
        <c:lblOffset val="100"/>
        <c:noMultiLvlLbl val="0"/>
      </c:catAx>
      <c:valAx>
        <c:axId val="87112704"/>
        <c:scaling>
          <c:orientation val="minMax"/>
        </c:scaling>
        <c:delete val="1"/>
        <c:axPos val="l"/>
        <c:numFmt formatCode="0.0" sourceLinked="1"/>
        <c:majorTickMark val="out"/>
        <c:minorTickMark val="none"/>
        <c:tickLblPos val="nextTo"/>
        <c:crossAx val="87111168"/>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Median Hourly Rate</a:t>
            </a:r>
          </a:p>
        </c:rich>
      </c:tx>
      <c:layout>
        <c:manualLayout>
          <c:xMode val="edge"/>
          <c:yMode val="edge"/>
          <c:x val="0.10885263191794277"/>
          <c:y val="2.0739210877328569E-4"/>
        </c:manualLayout>
      </c:layout>
      <c:overlay val="0"/>
    </c:title>
    <c:autoTitleDeleted val="0"/>
    <c:plotArea>
      <c:layout>
        <c:manualLayout>
          <c:layoutTarget val="inner"/>
          <c:xMode val="edge"/>
          <c:yMode val="edge"/>
          <c:x val="0.11936958584402303"/>
          <c:y val="0.20909531878135487"/>
          <c:w val="0.82976969428117264"/>
          <c:h val="0.65684738178219526"/>
        </c:manualLayout>
      </c:layout>
      <c:barChart>
        <c:barDir val="col"/>
        <c:grouping val="clustered"/>
        <c:varyColors val="0"/>
        <c:ser>
          <c:idx val="0"/>
          <c:order val="0"/>
          <c:invertIfNegative val="0"/>
          <c:dPt>
            <c:idx val="1"/>
            <c:invertIfNegative val="0"/>
            <c:bubble3D val="0"/>
            <c:spPr>
              <a:solidFill>
                <a:srgbClr val="C00000"/>
              </a:solidFill>
            </c:spPr>
          </c:dPt>
          <c:dLbls>
            <c:numFmt formatCode="&quot;£&quot;#,##0.0" sourceLinked="0"/>
            <c:txPr>
              <a:bodyPr/>
              <a:lstStyle/>
              <a:p>
                <a:pPr>
                  <a:defRPr sz="1200" b="1" i="0" baseline="0"/>
                </a:pPr>
                <a:endParaRPr lang="en-US"/>
              </a:p>
            </c:txPr>
            <c:showLegendKey val="0"/>
            <c:showVal val="1"/>
            <c:showCatName val="0"/>
            <c:showSerName val="0"/>
            <c:showPercent val="0"/>
            <c:showBubbleSize val="0"/>
            <c:showLeaderLines val="0"/>
          </c:dLbls>
          <c:cat>
            <c:strRef>
              <c:f>Sheet1!$A$3:$A$4</c:f>
              <c:strCache>
                <c:ptCount val="2"/>
                <c:pt idx="0">
                  <c:v>Male</c:v>
                </c:pt>
                <c:pt idx="1">
                  <c:v>Female</c:v>
                </c:pt>
              </c:strCache>
            </c:strRef>
          </c:cat>
          <c:val>
            <c:numRef>
              <c:f>Sheet1!$C$3:$C$4</c:f>
              <c:numCache>
                <c:formatCode>0.0</c:formatCode>
                <c:ptCount val="2"/>
                <c:pt idx="0">
                  <c:v>19.213439705431099</c:v>
                </c:pt>
                <c:pt idx="1">
                  <c:v>15.4</c:v>
                </c:pt>
              </c:numCache>
            </c:numRef>
          </c:val>
        </c:ser>
        <c:dLbls>
          <c:showLegendKey val="0"/>
          <c:showVal val="0"/>
          <c:showCatName val="0"/>
          <c:showSerName val="0"/>
          <c:showPercent val="0"/>
          <c:showBubbleSize val="0"/>
        </c:dLbls>
        <c:gapWidth val="150"/>
        <c:axId val="99757056"/>
        <c:axId val="99783424"/>
      </c:barChart>
      <c:catAx>
        <c:axId val="99757056"/>
        <c:scaling>
          <c:orientation val="minMax"/>
        </c:scaling>
        <c:delete val="0"/>
        <c:axPos val="b"/>
        <c:majorTickMark val="out"/>
        <c:minorTickMark val="none"/>
        <c:tickLblPos val="nextTo"/>
        <c:crossAx val="99783424"/>
        <c:crosses val="autoZero"/>
        <c:auto val="1"/>
        <c:lblAlgn val="ctr"/>
        <c:lblOffset val="100"/>
        <c:noMultiLvlLbl val="0"/>
      </c:catAx>
      <c:valAx>
        <c:axId val="99783424"/>
        <c:scaling>
          <c:orientation val="minMax"/>
        </c:scaling>
        <c:delete val="1"/>
        <c:axPos val="l"/>
        <c:numFmt formatCode="0.0" sourceLinked="1"/>
        <c:majorTickMark val="out"/>
        <c:minorTickMark val="none"/>
        <c:tickLblPos val="nextTo"/>
        <c:crossAx val="99757056"/>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en-GB" sz="1200" baseline="0"/>
              <a:t>Percentage of gender in Pay Quartiles including Medical Staff</a:t>
            </a:r>
          </a:p>
        </c:rich>
      </c:tx>
      <c:layout/>
      <c:overlay val="0"/>
    </c:title>
    <c:autoTitleDeleted val="0"/>
    <c:plotArea>
      <c:layout/>
      <c:barChart>
        <c:barDir val="bar"/>
        <c:grouping val="clustered"/>
        <c:varyColors val="0"/>
        <c:ser>
          <c:idx val="0"/>
          <c:order val="0"/>
          <c:tx>
            <c:strRef>
              <c:f>'All Staff ST G report'!$F$2</c:f>
              <c:strCache>
                <c:ptCount val="1"/>
                <c:pt idx="0">
                  <c:v>Female %</c:v>
                </c:pt>
              </c:strCache>
            </c:strRef>
          </c:tx>
          <c:spPr>
            <a:solidFill>
              <a:srgbClr val="C00000"/>
            </a:solidFill>
          </c:spPr>
          <c:invertIfNegative val="0"/>
          <c:dLbls>
            <c:txPr>
              <a:bodyPr/>
              <a:lstStyle/>
              <a:p>
                <a:pPr>
                  <a:defRPr sz="800" b="1" i="0" baseline="0">
                    <a:solidFill>
                      <a:schemeClr val="bg1"/>
                    </a:solidFill>
                  </a:defRPr>
                </a:pPr>
                <a:endParaRPr lang="en-US"/>
              </a:p>
            </c:txPr>
            <c:dLblPos val="inEnd"/>
            <c:showLegendKey val="0"/>
            <c:showVal val="1"/>
            <c:showCatName val="0"/>
            <c:showSerName val="0"/>
            <c:showPercent val="0"/>
            <c:showBubbleSize val="0"/>
            <c:showLeaderLines val="0"/>
          </c:dLbls>
          <c:cat>
            <c:strRef>
              <c:f>'All Staff ST G report'!$E$3:$E$6</c:f>
              <c:strCache>
                <c:ptCount val="4"/>
                <c:pt idx="0">
                  <c:v>Lower Quartile</c:v>
                </c:pt>
                <c:pt idx="1">
                  <c:v>Lower Middle Quartile</c:v>
                </c:pt>
                <c:pt idx="2">
                  <c:v>Upper Middle Quartile</c:v>
                </c:pt>
                <c:pt idx="3">
                  <c:v>Upper Quartile</c:v>
                </c:pt>
              </c:strCache>
            </c:strRef>
          </c:cat>
          <c:val>
            <c:numRef>
              <c:f>'All Staff ST G report'!$F$3:$F$6</c:f>
              <c:numCache>
                <c:formatCode>0.0%</c:formatCode>
                <c:ptCount val="4"/>
                <c:pt idx="0">
                  <c:v>0.86491935483870996</c:v>
                </c:pt>
                <c:pt idx="1">
                  <c:v>0.844758064516129</c:v>
                </c:pt>
                <c:pt idx="2">
                  <c:v>0.85944584382871503</c:v>
                </c:pt>
                <c:pt idx="3">
                  <c:v>0.65256797583081605</c:v>
                </c:pt>
              </c:numCache>
            </c:numRef>
          </c:val>
        </c:ser>
        <c:ser>
          <c:idx val="1"/>
          <c:order val="1"/>
          <c:tx>
            <c:strRef>
              <c:f>'All Staff ST G report'!$G$2</c:f>
              <c:strCache>
                <c:ptCount val="1"/>
                <c:pt idx="0">
                  <c:v>Male %</c:v>
                </c:pt>
              </c:strCache>
            </c:strRef>
          </c:tx>
          <c:spPr>
            <a:solidFill>
              <a:schemeClr val="accent1"/>
            </a:solidFill>
          </c:spPr>
          <c:invertIfNegative val="0"/>
          <c:dLbls>
            <c:numFmt formatCode="0.0%" sourceLinked="0"/>
            <c:txPr>
              <a:bodyPr/>
              <a:lstStyle/>
              <a:p>
                <a:pPr>
                  <a:defRPr sz="800" b="1" i="0" baseline="0">
                    <a:solidFill>
                      <a:schemeClr val="bg1"/>
                    </a:solidFill>
                  </a:defRPr>
                </a:pPr>
                <a:endParaRPr lang="en-US"/>
              </a:p>
            </c:txPr>
            <c:dLblPos val="inEnd"/>
            <c:showLegendKey val="0"/>
            <c:showVal val="1"/>
            <c:showCatName val="0"/>
            <c:showSerName val="0"/>
            <c:showPercent val="0"/>
            <c:showBubbleSize val="0"/>
            <c:showLeaderLines val="0"/>
          </c:dLbls>
          <c:cat>
            <c:strRef>
              <c:f>'All Staff ST G report'!$E$3:$E$6</c:f>
              <c:strCache>
                <c:ptCount val="4"/>
                <c:pt idx="0">
                  <c:v>Lower Quartile</c:v>
                </c:pt>
                <c:pt idx="1">
                  <c:v>Lower Middle Quartile</c:v>
                </c:pt>
                <c:pt idx="2">
                  <c:v>Upper Middle Quartile</c:v>
                </c:pt>
                <c:pt idx="3">
                  <c:v>Upper Quartile</c:v>
                </c:pt>
              </c:strCache>
            </c:strRef>
          </c:cat>
          <c:val>
            <c:numRef>
              <c:f>'All Staff ST G report'!$G$3:$G$6</c:f>
              <c:numCache>
                <c:formatCode>0.0%</c:formatCode>
                <c:ptCount val="4"/>
                <c:pt idx="0">
                  <c:v>0.13508064516129001</c:v>
                </c:pt>
                <c:pt idx="1">
                  <c:v>0.155241935483871</c:v>
                </c:pt>
                <c:pt idx="2">
                  <c:v>0.140554156171285</c:v>
                </c:pt>
                <c:pt idx="3">
                  <c:v>0.34743202416918401</c:v>
                </c:pt>
              </c:numCache>
            </c:numRef>
          </c:val>
        </c:ser>
        <c:dLbls>
          <c:showLegendKey val="0"/>
          <c:showVal val="0"/>
          <c:showCatName val="0"/>
          <c:showSerName val="0"/>
          <c:showPercent val="0"/>
          <c:showBubbleSize val="0"/>
        </c:dLbls>
        <c:gapWidth val="24"/>
        <c:axId val="98416512"/>
        <c:axId val="98418048"/>
      </c:barChart>
      <c:catAx>
        <c:axId val="98416512"/>
        <c:scaling>
          <c:orientation val="maxMin"/>
        </c:scaling>
        <c:delete val="0"/>
        <c:axPos val="l"/>
        <c:majorTickMark val="out"/>
        <c:minorTickMark val="none"/>
        <c:tickLblPos val="nextTo"/>
        <c:crossAx val="98418048"/>
        <c:crosses val="autoZero"/>
        <c:auto val="1"/>
        <c:lblAlgn val="ctr"/>
        <c:lblOffset val="100"/>
        <c:noMultiLvlLbl val="0"/>
      </c:catAx>
      <c:valAx>
        <c:axId val="98418048"/>
        <c:scaling>
          <c:orientation val="minMax"/>
        </c:scaling>
        <c:delete val="1"/>
        <c:axPos val="t"/>
        <c:numFmt formatCode="0.0%" sourceLinked="1"/>
        <c:majorTickMark val="out"/>
        <c:minorTickMark val="none"/>
        <c:tickLblPos val="nextTo"/>
        <c:crossAx val="98416512"/>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Mean Hourly Rate</a:t>
            </a:r>
          </a:p>
        </c:rich>
      </c:tx>
      <c:layout/>
      <c:overlay val="0"/>
    </c:title>
    <c:autoTitleDeleted val="0"/>
    <c:plotArea>
      <c:layout/>
      <c:barChart>
        <c:barDir val="col"/>
        <c:grouping val="clustered"/>
        <c:varyColors val="0"/>
        <c:ser>
          <c:idx val="0"/>
          <c:order val="0"/>
          <c:tx>
            <c:strRef>
              <c:f>'No medics St G report'!$B$2</c:f>
              <c:strCache>
                <c:ptCount val="1"/>
                <c:pt idx="0">
                  <c:v>Avg. Hourly Rate</c:v>
                </c:pt>
              </c:strCache>
            </c:strRef>
          </c:tx>
          <c:spPr>
            <a:solidFill>
              <a:srgbClr val="C00000"/>
            </a:solidFill>
          </c:spPr>
          <c:invertIfNegative val="0"/>
          <c:dPt>
            <c:idx val="0"/>
            <c:invertIfNegative val="0"/>
            <c:bubble3D val="0"/>
            <c:spPr>
              <a:solidFill>
                <a:schemeClr val="tx2">
                  <a:lumMod val="60000"/>
                  <a:lumOff val="40000"/>
                </a:schemeClr>
              </a:solidFill>
            </c:spPr>
          </c:dPt>
          <c:dLbls>
            <c:numFmt formatCode="&quot;£&quot;#,##0.0" sourceLinked="0"/>
            <c:txPr>
              <a:bodyPr/>
              <a:lstStyle/>
              <a:p>
                <a:pPr>
                  <a:defRPr sz="1200" b="1" i="0" baseline="0"/>
                </a:pPr>
                <a:endParaRPr lang="en-US"/>
              </a:p>
            </c:txPr>
            <c:showLegendKey val="0"/>
            <c:showVal val="1"/>
            <c:showCatName val="0"/>
            <c:showSerName val="0"/>
            <c:showPercent val="0"/>
            <c:showBubbleSize val="0"/>
            <c:showLeaderLines val="0"/>
          </c:dLbls>
          <c:cat>
            <c:strRef>
              <c:f>'No medics St G report'!$A$3:$A$4</c:f>
              <c:strCache>
                <c:ptCount val="2"/>
                <c:pt idx="0">
                  <c:v>Male</c:v>
                </c:pt>
                <c:pt idx="1">
                  <c:v>Female</c:v>
                </c:pt>
              </c:strCache>
            </c:strRef>
          </c:cat>
          <c:val>
            <c:numRef>
              <c:f>'No medics St G report'!$B$3:$B$4</c:f>
              <c:numCache>
                <c:formatCode>0.0</c:formatCode>
                <c:ptCount val="2"/>
                <c:pt idx="0">
                  <c:v>15.691075589204599</c:v>
                </c:pt>
                <c:pt idx="1">
                  <c:v>15.077447128618701</c:v>
                </c:pt>
              </c:numCache>
            </c:numRef>
          </c:val>
        </c:ser>
        <c:dLbls>
          <c:showLegendKey val="0"/>
          <c:showVal val="0"/>
          <c:showCatName val="0"/>
          <c:showSerName val="0"/>
          <c:showPercent val="0"/>
          <c:showBubbleSize val="0"/>
        </c:dLbls>
        <c:gapWidth val="150"/>
        <c:axId val="100106624"/>
        <c:axId val="100108160"/>
      </c:barChart>
      <c:catAx>
        <c:axId val="100106624"/>
        <c:scaling>
          <c:orientation val="minMax"/>
        </c:scaling>
        <c:delete val="0"/>
        <c:axPos val="b"/>
        <c:majorTickMark val="out"/>
        <c:minorTickMark val="none"/>
        <c:tickLblPos val="nextTo"/>
        <c:crossAx val="100108160"/>
        <c:crosses val="autoZero"/>
        <c:auto val="1"/>
        <c:lblAlgn val="ctr"/>
        <c:lblOffset val="100"/>
        <c:noMultiLvlLbl val="0"/>
      </c:catAx>
      <c:valAx>
        <c:axId val="100108160"/>
        <c:scaling>
          <c:orientation val="minMax"/>
          <c:max val="25"/>
          <c:min val="0"/>
        </c:scaling>
        <c:delete val="1"/>
        <c:axPos val="l"/>
        <c:numFmt formatCode="0.0" sourceLinked="1"/>
        <c:majorTickMark val="out"/>
        <c:minorTickMark val="none"/>
        <c:tickLblPos val="nextTo"/>
        <c:crossAx val="100106624"/>
        <c:crosses val="autoZero"/>
        <c:crossBetween val="between"/>
        <c:majorUnit val="0.5"/>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Median Hourly Rate</a:t>
            </a:r>
          </a:p>
        </c:rich>
      </c:tx>
      <c:layout/>
      <c:overlay val="0"/>
    </c:title>
    <c:autoTitleDeleted val="0"/>
    <c:plotArea>
      <c:layout/>
      <c:barChart>
        <c:barDir val="col"/>
        <c:grouping val="clustered"/>
        <c:varyColors val="0"/>
        <c:ser>
          <c:idx val="0"/>
          <c:order val="0"/>
          <c:spPr>
            <a:solidFill>
              <a:srgbClr val="C00000"/>
            </a:solidFill>
          </c:spPr>
          <c:invertIfNegative val="0"/>
          <c:dPt>
            <c:idx val="0"/>
            <c:invertIfNegative val="0"/>
            <c:bubble3D val="0"/>
            <c:spPr>
              <a:solidFill>
                <a:schemeClr val="tx2">
                  <a:lumMod val="60000"/>
                  <a:lumOff val="40000"/>
                </a:schemeClr>
              </a:solidFill>
            </c:spPr>
          </c:dPt>
          <c:dLbls>
            <c:numFmt formatCode="&quot;£&quot;#,##0.0" sourceLinked="0"/>
            <c:txPr>
              <a:bodyPr/>
              <a:lstStyle/>
              <a:p>
                <a:pPr>
                  <a:defRPr sz="1200" b="1" i="0" baseline="0"/>
                </a:pPr>
                <a:endParaRPr lang="en-US"/>
              </a:p>
            </c:txPr>
            <c:showLegendKey val="0"/>
            <c:showVal val="1"/>
            <c:showCatName val="0"/>
            <c:showSerName val="0"/>
            <c:showPercent val="0"/>
            <c:showBubbleSize val="0"/>
            <c:showLeaderLines val="0"/>
          </c:dLbls>
          <c:cat>
            <c:strRef>
              <c:f>'No medics St G report'!$A$3:$A$4</c:f>
              <c:strCache>
                <c:ptCount val="2"/>
                <c:pt idx="0">
                  <c:v>Male</c:v>
                </c:pt>
                <c:pt idx="1">
                  <c:v>Female</c:v>
                </c:pt>
              </c:strCache>
            </c:strRef>
          </c:cat>
          <c:val>
            <c:numRef>
              <c:f>'No medics St G report'!$C$3:$C$4</c:f>
              <c:numCache>
                <c:formatCode>0.0</c:formatCode>
                <c:ptCount val="2"/>
                <c:pt idx="0">
                  <c:v>13.924887988841</c:v>
                </c:pt>
                <c:pt idx="1">
                  <c:v>14.482773740257599</c:v>
                </c:pt>
              </c:numCache>
            </c:numRef>
          </c:val>
        </c:ser>
        <c:dLbls>
          <c:showLegendKey val="0"/>
          <c:showVal val="0"/>
          <c:showCatName val="0"/>
          <c:showSerName val="0"/>
          <c:showPercent val="0"/>
          <c:showBubbleSize val="0"/>
        </c:dLbls>
        <c:gapWidth val="150"/>
        <c:axId val="100207232"/>
        <c:axId val="100209024"/>
      </c:barChart>
      <c:catAx>
        <c:axId val="100207232"/>
        <c:scaling>
          <c:orientation val="minMax"/>
        </c:scaling>
        <c:delete val="0"/>
        <c:axPos val="b"/>
        <c:majorTickMark val="out"/>
        <c:minorTickMark val="none"/>
        <c:tickLblPos val="nextTo"/>
        <c:crossAx val="100209024"/>
        <c:crosses val="autoZero"/>
        <c:auto val="1"/>
        <c:lblAlgn val="ctr"/>
        <c:lblOffset val="100"/>
        <c:noMultiLvlLbl val="0"/>
      </c:catAx>
      <c:valAx>
        <c:axId val="100209024"/>
        <c:scaling>
          <c:orientation val="minMax"/>
          <c:max val="25"/>
          <c:min val="0"/>
        </c:scaling>
        <c:delete val="1"/>
        <c:axPos val="l"/>
        <c:numFmt formatCode="0.0" sourceLinked="1"/>
        <c:majorTickMark val="out"/>
        <c:minorTickMark val="none"/>
        <c:tickLblPos val="nextTo"/>
        <c:crossAx val="100207232"/>
        <c:crosses val="autoZero"/>
        <c:crossBetween val="between"/>
        <c:majorUnit val="0.5"/>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en-GB" sz="1200" baseline="0"/>
              <a:t>Percentage of gender in Pay Quartiles excluding Medical Staff</a:t>
            </a:r>
          </a:p>
        </c:rich>
      </c:tx>
      <c:layout/>
      <c:overlay val="0"/>
    </c:title>
    <c:autoTitleDeleted val="0"/>
    <c:plotArea>
      <c:layout/>
      <c:barChart>
        <c:barDir val="bar"/>
        <c:grouping val="clustered"/>
        <c:varyColors val="0"/>
        <c:ser>
          <c:idx val="0"/>
          <c:order val="0"/>
          <c:tx>
            <c:strRef>
              <c:f>'No medics St G report'!$F$2</c:f>
              <c:strCache>
                <c:ptCount val="1"/>
                <c:pt idx="0">
                  <c:v>Female %</c:v>
                </c:pt>
              </c:strCache>
            </c:strRef>
          </c:tx>
          <c:spPr>
            <a:solidFill>
              <a:srgbClr val="C00000"/>
            </a:solidFill>
          </c:spPr>
          <c:invertIfNegative val="0"/>
          <c:dLbls>
            <c:txPr>
              <a:bodyPr/>
              <a:lstStyle/>
              <a:p>
                <a:pPr>
                  <a:defRPr sz="800" b="1" i="0" baseline="0">
                    <a:solidFill>
                      <a:schemeClr val="bg1"/>
                    </a:solidFill>
                  </a:defRPr>
                </a:pPr>
                <a:endParaRPr lang="en-US"/>
              </a:p>
            </c:txPr>
            <c:dLblPos val="inEnd"/>
            <c:showLegendKey val="0"/>
            <c:showVal val="1"/>
            <c:showCatName val="0"/>
            <c:showSerName val="0"/>
            <c:showPercent val="0"/>
            <c:showBubbleSize val="0"/>
            <c:showLeaderLines val="0"/>
          </c:dLbls>
          <c:cat>
            <c:strRef>
              <c:f>'No medics St G report'!$E$3:$E$6</c:f>
              <c:strCache>
                <c:ptCount val="4"/>
                <c:pt idx="0">
                  <c:v>Lower Quartile</c:v>
                </c:pt>
                <c:pt idx="1">
                  <c:v>Lower Middle Quartile</c:v>
                </c:pt>
                <c:pt idx="2">
                  <c:v>Upper Middle Quartile</c:v>
                </c:pt>
                <c:pt idx="3">
                  <c:v>Upper Quartile</c:v>
                </c:pt>
              </c:strCache>
            </c:strRef>
          </c:cat>
          <c:val>
            <c:numRef>
              <c:f>'No medics St G report'!$F$3:$F$6</c:f>
              <c:numCache>
                <c:formatCode>0.0%</c:formatCode>
                <c:ptCount val="4"/>
                <c:pt idx="0">
                  <c:v>0.86394142769981697</c:v>
                </c:pt>
                <c:pt idx="1">
                  <c:v>0.84207317073170695</c:v>
                </c:pt>
                <c:pt idx="2">
                  <c:v>0.89634146341463405</c:v>
                </c:pt>
                <c:pt idx="3">
                  <c:v>0.83729433272394904</c:v>
                </c:pt>
              </c:numCache>
            </c:numRef>
          </c:val>
        </c:ser>
        <c:ser>
          <c:idx val="1"/>
          <c:order val="1"/>
          <c:tx>
            <c:strRef>
              <c:f>'No medics St G report'!$G$2</c:f>
              <c:strCache>
                <c:ptCount val="1"/>
                <c:pt idx="0">
                  <c:v>Male %</c:v>
                </c:pt>
              </c:strCache>
            </c:strRef>
          </c:tx>
          <c:spPr>
            <a:solidFill>
              <a:schemeClr val="accent1"/>
            </a:solidFill>
          </c:spPr>
          <c:invertIfNegative val="0"/>
          <c:dLbls>
            <c:numFmt formatCode="0.0%" sourceLinked="0"/>
            <c:txPr>
              <a:bodyPr/>
              <a:lstStyle/>
              <a:p>
                <a:pPr>
                  <a:defRPr sz="800" b="1" i="0" baseline="0">
                    <a:solidFill>
                      <a:schemeClr val="bg1"/>
                    </a:solidFill>
                  </a:defRPr>
                </a:pPr>
                <a:endParaRPr lang="en-US"/>
              </a:p>
            </c:txPr>
            <c:dLblPos val="inEnd"/>
            <c:showLegendKey val="0"/>
            <c:showVal val="1"/>
            <c:showCatName val="0"/>
            <c:showSerName val="0"/>
            <c:showPercent val="0"/>
            <c:showBubbleSize val="0"/>
            <c:showLeaderLines val="0"/>
          </c:dLbls>
          <c:cat>
            <c:strRef>
              <c:f>'No medics St G report'!$E$3:$E$6</c:f>
              <c:strCache>
                <c:ptCount val="4"/>
                <c:pt idx="0">
                  <c:v>Lower Quartile</c:v>
                </c:pt>
                <c:pt idx="1">
                  <c:v>Lower Middle Quartile</c:v>
                </c:pt>
                <c:pt idx="2">
                  <c:v>Upper Middle Quartile</c:v>
                </c:pt>
                <c:pt idx="3">
                  <c:v>Upper Quartile</c:v>
                </c:pt>
              </c:strCache>
            </c:strRef>
          </c:cat>
          <c:val>
            <c:numRef>
              <c:f>'No medics St G report'!$G$3:$G$6</c:f>
              <c:numCache>
                <c:formatCode>0.0%</c:formatCode>
                <c:ptCount val="4"/>
                <c:pt idx="0">
                  <c:v>0.13605857230018301</c:v>
                </c:pt>
                <c:pt idx="1">
                  <c:v>0.15792682926829299</c:v>
                </c:pt>
                <c:pt idx="2">
                  <c:v>0.103658536585366</c:v>
                </c:pt>
                <c:pt idx="3">
                  <c:v>0.16270566727605101</c:v>
                </c:pt>
              </c:numCache>
            </c:numRef>
          </c:val>
        </c:ser>
        <c:dLbls>
          <c:showLegendKey val="0"/>
          <c:showVal val="0"/>
          <c:showCatName val="0"/>
          <c:showSerName val="0"/>
          <c:showPercent val="0"/>
          <c:showBubbleSize val="0"/>
        </c:dLbls>
        <c:gapWidth val="24"/>
        <c:axId val="100464128"/>
        <c:axId val="100465664"/>
      </c:barChart>
      <c:catAx>
        <c:axId val="100464128"/>
        <c:scaling>
          <c:orientation val="maxMin"/>
        </c:scaling>
        <c:delete val="0"/>
        <c:axPos val="l"/>
        <c:majorTickMark val="out"/>
        <c:minorTickMark val="none"/>
        <c:tickLblPos val="nextTo"/>
        <c:crossAx val="100465664"/>
        <c:crosses val="autoZero"/>
        <c:auto val="1"/>
        <c:lblAlgn val="ctr"/>
        <c:lblOffset val="100"/>
        <c:noMultiLvlLbl val="0"/>
      </c:catAx>
      <c:valAx>
        <c:axId val="100465664"/>
        <c:scaling>
          <c:orientation val="minMax"/>
        </c:scaling>
        <c:delete val="1"/>
        <c:axPos val="t"/>
        <c:numFmt formatCode="0.0%" sourceLinked="1"/>
        <c:majorTickMark val="out"/>
        <c:minorTickMark val="none"/>
        <c:tickLblPos val="nextTo"/>
        <c:crossAx val="100464128"/>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00" baseline="0"/>
              <a:t>All Medical Staff Mean Hourly Rate</a:t>
            </a:r>
          </a:p>
        </c:rich>
      </c:tx>
      <c:layout/>
      <c:overlay val="0"/>
    </c:title>
    <c:autoTitleDeleted val="0"/>
    <c:plotArea>
      <c:layout>
        <c:manualLayout>
          <c:layoutTarget val="inner"/>
          <c:xMode val="edge"/>
          <c:yMode val="edge"/>
          <c:x val="5.3140096618357488E-2"/>
          <c:y val="0.22072213500784929"/>
          <c:w val="0.893719806763285"/>
          <c:h val="0.64818600971581852"/>
        </c:manualLayout>
      </c:layout>
      <c:barChart>
        <c:barDir val="col"/>
        <c:grouping val="clustered"/>
        <c:varyColors val="0"/>
        <c:ser>
          <c:idx val="0"/>
          <c:order val="0"/>
          <c:tx>
            <c:strRef>
              <c:f>'Medics only St G report'!$B$2</c:f>
              <c:strCache>
                <c:ptCount val="1"/>
                <c:pt idx="0">
                  <c:v>Avg. Hourly Rate</c:v>
                </c:pt>
              </c:strCache>
            </c:strRef>
          </c:tx>
          <c:spPr>
            <a:solidFill>
              <a:srgbClr val="C00000"/>
            </a:solidFill>
          </c:spPr>
          <c:invertIfNegative val="0"/>
          <c:dPt>
            <c:idx val="0"/>
            <c:invertIfNegative val="0"/>
            <c:bubble3D val="0"/>
            <c:spPr>
              <a:solidFill>
                <a:schemeClr val="tx2">
                  <a:lumMod val="60000"/>
                  <a:lumOff val="40000"/>
                </a:schemeClr>
              </a:solidFill>
            </c:spPr>
          </c:dPt>
          <c:dLbls>
            <c:numFmt formatCode="&quot;£&quot;#,##0.0" sourceLinked="0"/>
            <c:txPr>
              <a:bodyPr/>
              <a:lstStyle/>
              <a:p>
                <a:pPr>
                  <a:defRPr sz="1200" b="1" i="0" baseline="0"/>
                </a:pPr>
                <a:endParaRPr lang="en-US"/>
              </a:p>
            </c:txPr>
            <c:showLegendKey val="0"/>
            <c:showVal val="1"/>
            <c:showCatName val="0"/>
            <c:showSerName val="0"/>
            <c:showPercent val="0"/>
            <c:showBubbleSize val="0"/>
            <c:showLeaderLines val="0"/>
          </c:dLbls>
          <c:cat>
            <c:strRef>
              <c:f>'Medics only St G report'!$A$3:$A$4</c:f>
              <c:strCache>
                <c:ptCount val="2"/>
                <c:pt idx="0">
                  <c:v>Male</c:v>
                </c:pt>
                <c:pt idx="1">
                  <c:v>Female</c:v>
                </c:pt>
              </c:strCache>
            </c:strRef>
          </c:cat>
          <c:val>
            <c:numRef>
              <c:f>'Medics only St G report'!$B$3:$B$4</c:f>
              <c:numCache>
                <c:formatCode>0.0</c:formatCode>
                <c:ptCount val="2"/>
                <c:pt idx="0">
                  <c:v>34.848750474972299</c:v>
                </c:pt>
                <c:pt idx="1">
                  <c:v>28.464280060797101</c:v>
                </c:pt>
              </c:numCache>
            </c:numRef>
          </c:val>
        </c:ser>
        <c:dLbls>
          <c:showLegendKey val="0"/>
          <c:showVal val="0"/>
          <c:showCatName val="0"/>
          <c:showSerName val="0"/>
          <c:showPercent val="0"/>
          <c:showBubbleSize val="0"/>
        </c:dLbls>
        <c:gapWidth val="150"/>
        <c:axId val="100646912"/>
        <c:axId val="100648448"/>
      </c:barChart>
      <c:catAx>
        <c:axId val="100646912"/>
        <c:scaling>
          <c:orientation val="minMax"/>
        </c:scaling>
        <c:delete val="0"/>
        <c:axPos val="b"/>
        <c:majorTickMark val="out"/>
        <c:minorTickMark val="none"/>
        <c:tickLblPos val="nextTo"/>
        <c:crossAx val="100648448"/>
        <c:crosses val="autoZero"/>
        <c:auto val="1"/>
        <c:lblAlgn val="ctr"/>
        <c:lblOffset val="100"/>
        <c:noMultiLvlLbl val="0"/>
      </c:catAx>
      <c:valAx>
        <c:axId val="100648448"/>
        <c:scaling>
          <c:orientation val="minMax"/>
          <c:max val="40"/>
          <c:min val="0"/>
        </c:scaling>
        <c:delete val="1"/>
        <c:axPos val="l"/>
        <c:numFmt formatCode="0.0" sourceLinked="1"/>
        <c:majorTickMark val="out"/>
        <c:minorTickMark val="none"/>
        <c:tickLblPos val="nextTo"/>
        <c:crossAx val="100646912"/>
        <c:crosses val="autoZero"/>
        <c:crossBetween val="between"/>
        <c:majorUnit val="10"/>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pPr>
            <a:r>
              <a:rPr lang="en-GB" sz="1400" baseline="0"/>
              <a:t>All Medical Staff Median Hourly Rate</a:t>
            </a:r>
          </a:p>
        </c:rich>
      </c:tx>
      <c:layout/>
      <c:overlay val="0"/>
    </c:title>
    <c:autoTitleDeleted val="0"/>
    <c:plotArea>
      <c:layout>
        <c:manualLayout>
          <c:layoutTarget val="inner"/>
          <c:xMode val="edge"/>
          <c:yMode val="edge"/>
          <c:x val="5.3140096618357488E-2"/>
          <c:y val="0.20502354788069074"/>
          <c:w val="0.893719806763285"/>
          <c:h val="0.66388459684297707"/>
        </c:manualLayout>
      </c:layout>
      <c:barChart>
        <c:barDir val="col"/>
        <c:grouping val="clustered"/>
        <c:varyColors val="0"/>
        <c:ser>
          <c:idx val="0"/>
          <c:order val="0"/>
          <c:spPr>
            <a:solidFill>
              <a:srgbClr val="C00000"/>
            </a:solidFill>
          </c:spPr>
          <c:invertIfNegative val="0"/>
          <c:dPt>
            <c:idx val="0"/>
            <c:invertIfNegative val="0"/>
            <c:bubble3D val="0"/>
            <c:spPr>
              <a:solidFill>
                <a:schemeClr val="tx2">
                  <a:lumMod val="60000"/>
                  <a:lumOff val="40000"/>
                </a:schemeClr>
              </a:solidFill>
            </c:spPr>
          </c:dPt>
          <c:dLbls>
            <c:numFmt formatCode="&quot;£&quot;#,##0.0" sourceLinked="0"/>
            <c:txPr>
              <a:bodyPr/>
              <a:lstStyle/>
              <a:p>
                <a:pPr>
                  <a:defRPr sz="1200" b="1" i="0" baseline="0"/>
                </a:pPr>
                <a:endParaRPr lang="en-US"/>
              </a:p>
            </c:txPr>
            <c:showLegendKey val="0"/>
            <c:showVal val="1"/>
            <c:showCatName val="0"/>
            <c:showSerName val="0"/>
            <c:showPercent val="0"/>
            <c:showBubbleSize val="0"/>
            <c:showLeaderLines val="0"/>
          </c:dLbls>
          <c:cat>
            <c:strRef>
              <c:f>'Medics only St G report'!$A$3:$A$4</c:f>
              <c:strCache>
                <c:ptCount val="2"/>
                <c:pt idx="0">
                  <c:v>Male</c:v>
                </c:pt>
                <c:pt idx="1">
                  <c:v>Female</c:v>
                </c:pt>
              </c:strCache>
            </c:strRef>
          </c:cat>
          <c:val>
            <c:numRef>
              <c:f>'Medics only St G report'!$C$3:$C$4</c:f>
              <c:numCache>
                <c:formatCode>0.0</c:formatCode>
                <c:ptCount val="2"/>
                <c:pt idx="0">
                  <c:v>29.2292678773665</c:v>
                </c:pt>
                <c:pt idx="1">
                  <c:v>26.120936654968101</c:v>
                </c:pt>
              </c:numCache>
            </c:numRef>
          </c:val>
        </c:ser>
        <c:dLbls>
          <c:showLegendKey val="0"/>
          <c:showVal val="0"/>
          <c:showCatName val="0"/>
          <c:showSerName val="0"/>
          <c:showPercent val="0"/>
          <c:showBubbleSize val="0"/>
        </c:dLbls>
        <c:gapWidth val="150"/>
        <c:axId val="100750848"/>
        <c:axId val="100752384"/>
      </c:barChart>
      <c:catAx>
        <c:axId val="100750848"/>
        <c:scaling>
          <c:orientation val="minMax"/>
        </c:scaling>
        <c:delete val="0"/>
        <c:axPos val="b"/>
        <c:majorTickMark val="out"/>
        <c:minorTickMark val="none"/>
        <c:tickLblPos val="nextTo"/>
        <c:crossAx val="100752384"/>
        <c:crosses val="autoZero"/>
        <c:auto val="1"/>
        <c:lblAlgn val="ctr"/>
        <c:lblOffset val="100"/>
        <c:noMultiLvlLbl val="0"/>
      </c:catAx>
      <c:valAx>
        <c:axId val="100752384"/>
        <c:scaling>
          <c:orientation val="minMax"/>
          <c:max val="40"/>
          <c:min val="0"/>
        </c:scaling>
        <c:delete val="1"/>
        <c:axPos val="l"/>
        <c:numFmt formatCode="0.0" sourceLinked="1"/>
        <c:majorTickMark val="out"/>
        <c:minorTickMark val="none"/>
        <c:tickLblPos val="nextTo"/>
        <c:crossAx val="100750848"/>
        <c:crosses val="autoZero"/>
        <c:crossBetween val="between"/>
        <c:majorUnit val="10"/>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CC93B-0464-46BF-B5C7-C35D9B4A0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CD2F6EBA</Template>
  <TotalTime>2</TotalTime>
  <Pages>14</Pages>
  <Words>3442</Words>
  <Characters>19620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Gloucestershire Hospitals NHS Foundation Trust</Company>
  <LinksUpToDate>false</LinksUpToDate>
  <CharactersWithSpaces>23016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dc:creator>
  <cp:lastModifiedBy>Account</cp:lastModifiedBy>
  <cp:revision>3</cp:revision>
  <dcterms:created xsi:type="dcterms:W3CDTF">2021-02-16T07:46:00Z</dcterms:created>
  <dcterms:modified xsi:type="dcterms:W3CDTF">2021-02-16T07:48:00Z</dcterms:modified>
</cp:coreProperties>
</file>